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35" w:rsidRDefault="00DF0635" w:rsidP="00DF0635">
      <w:pPr>
        <w:pStyle w:val="a3"/>
        <w:spacing w:after="0" w:line="240" w:lineRule="auto"/>
        <w:ind w:left="1418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Бактериоскопиялық тексеруге қынаптан жағынды алу</w:t>
      </w:r>
    </w:p>
    <w:p w:rsidR="00DF0635" w:rsidRDefault="00DF0635" w:rsidP="00DF0635">
      <w:pPr>
        <w:pStyle w:val="a3"/>
        <w:spacing w:after="0" w:line="240" w:lineRule="auto"/>
        <w:ind w:left="1418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F0635" w:rsidRDefault="00DF0635" w:rsidP="00DF0635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498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709"/>
        <w:gridCol w:w="5954"/>
        <w:gridCol w:w="141"/>
        <w:gridCol w:w="567"/>
        <w:gridCol w:w="709"/>
        <w:gridCol w:w="709"/>
        <w:gridCol w:w="709"/>
      </w:tblGrid>
      <w:tr w:rsidR="00DF0635" w:rsidRPr="00DF0635" w:rsidTr="0047569E">
        <w:trPr>
          <w:trHeight w:val="345"/>
        </w:trPr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0C0C0"/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0635">
              <w:rPr>
                <w:rFonts w:ascii="Times New Roman" w:hAnsi="Times New Roman"/>
                <w:b/>
                <w:i/>
                <w:sz w:val="24"/>
                <w:szCs w:val="24"/>
              </w:rPr>
              <w:t>ша-гов</w:t>
            </w:r>
            <w:proofErr w:type="spellEnd"/>
            <w:proofErr w:type="gramEnd"/>
          </w:p>
        </w:tc>
        <w:tc>
          <w:tcPr>
            <w:tcW w:w="609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0C0C0"/>
          </w:tcPr>
          <w:p w:rsidR="00DF0635" w:rsidRPr="00DF0635" w:rsidRDefault="00DF0635" w:rsidP="00DF063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Қадамдарды бағалау </w:t>
            </w:r>
            <w:proofErr w:type="spellStart"/>
            <w:r w:rsidRPr="00DF06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критерилері</w:t>
            </w:r>
            <w:proofErr w:type="spellEnd"/>
          </w:p>
        </w:tc>
        <w:tc>
          <w:tcPr>
            <w:tcW w:w="2694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C0C0C0"/>
          </w:tcPr>
          <w:p w:rsidR="00DF0635" w:rsidRPr="00DF0635" w:rsidRDefault="00DF0635" w:rsidP="00DF0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Баға (балл)</w:t>
            </w:r>
          </w:p>
        </w:tc>
      </w:tr>
      <w:tr w:rsidR="00DF0635" w:rsidRPr="00DF0635" w:rsidTr="0047569E">
        <w:tc>
          <w:tcPr>
            <w:tcW w:w="709" w:type="dxa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DF06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3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Қажет құралдар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қынаптық айналар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корнцанг, </w:t>
            </w:r>
            <w:hyperlink r:id="rId5" w:history="1">
              <w:proofErr w:type="spellStart"/>
              <w:r w:rsidRPr="00DF063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Фолькман</w:t>
              </w:r>
              <w:proofErr w:type="spellEnd"/>
            </w:hyperlink>
            <w:r w:rsidRPr="00DF0635">
              <w:rPr>
                <w:sz w:val="24"/>
                <w:szCs w:val="24"/>
                <w:lang w:val="kk-KZ"/>
              </w:rPr>
              <w:t xml:space="preserve"> 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қасығы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мақта бөлщектері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таза затты әйнек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Әйелді гинекологиялық креслоға шығуын өтінеміз.  Алдын алы таза біррет қолданылатын жөргек төсеп аламыз. Ережеге сәйкес қолды жуғаннан кейін, екі қолға стерильді резина қолғап киеміз.</w:t>
            </w: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  <w:tr w:rsidR="00DF0635" w:rsidRPr="00DF0635" w:rsidTr="0047569E">
        <w:tc>
          <w:tcPr>
            <w:tcW w:w="709" w:type="dxa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Сол қолдың саусақтарымен жыныс еріндерін ашамыз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оң қолдың сұқ саусағымен уретраға массаж жасайды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F0635">
              <w:rPr>
                <w:rFonts w:ascii="Times New Roman" w:hAnsi="Times New Roman"/>
                <w:sz w:val="24"/>
                <w:szCs w:val="24"/>
              </w:rPr>
              <w:t>стериль</w:t>
            </w:r>
            <w:proofErr w:type="spellEnd"/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ді мақта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 тампон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мен уретраның сыртқы тесігін құрғатады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уретрадан жағындыны алады және заттық әйнекке шетіне жақын етіп жағады. </w:t>
            </w:r>
          </w:p>
          <w:p w:rsidR="00DF0635" w:rsidRPr="00DF0635" w:rsidRDefault="00DF0635" w:rsidP="00DF06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  <w:tr w:rsidR="00DF0635" w:rsidRPr="00DF0635" w:rsidTr="0047569E">
        <w:tc>
          <w:tcPr>
            <w:tcW w:w="709" w:type="dxa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DF0635" w:rsidRPr="00DF0635" w:rsidRDefault="00DF0635" w:rsidP="00D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Осыдан кейін қынапқа </w:t>
            </w:r>
            <w:proofErr w:type="spellStart"/>
            <w:r w:rsidRPr="00DF0635">
              <w:rPr>
                <w:rFonts w:ascii="Times New Roman" w:hAnsi="Times New Roman"/>
                <w:sz w:val="24"/>
                <w:szCs w:val="24"/>
              </w:rPr>
              <w:t>Куско</w:t>
            </w:r>
            <w:proofErr w:type="spellEnd"/>
            <w:r w:rsidRPr="00DF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айнасын жабылған күйінде бүйірімен енгізеді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оны бұрады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дұрыс қалпында орналастырады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құлақшаларын ашады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жатыр мойынын жалаңаштап, құлақшаларын бекітеді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Осыдан кейін жатыр мойынын құрғақ мақта шарикпен сүртеді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таза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635">
              <w:rPr>
                <w:rFonts w:ascii="Times New Roman" w:hAnsi="Times New Roman"/>
                <w:sz w:val="24"/>
                <w:szCs w:val="24"/>
              </w:rPr>
              <w:t>Фолькман</w:t>
            </w:r>
            <w:proofErr w:type="spellEnd"/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қасығын </w:t>
            </w:r>
            <w:proofErr w:type="spellStart"/>
            <w:r w:rsidRPr="00DF0635">
              <w:rPr>
                <w:rFonts w:ascii="Times New Roman" w:hAnsi="Times New Roman"/>
                <w:sz w:val="24"/>
                <w:szCs w:val="24"/>
              </w:rPr>
              <w:t>цервикаль</w:t>
            </w:r>
            <w:proofErr w:type="spellEnd"/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өзекке 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>0,5 см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тереңдікте енгізеді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жағынды алып, заттық әйнекке келесі шетіне жақын етіп жағады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  <w:tr w:rsidR="00DF0635" w:rsidRPr="00DF0635" w:rsidTr="0047569E">
        <w:tc>
          <w:tcPr>
            <w:tcW w:w="709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thickThinSmallGap" w:sz="18" w:space="0" w:color="auto"/>
            </w:tcBorders>
          </w:tcPr>
          <w:p w:rsidR="00DF0635" w:rsidRPr="00DF0635" w:rsidRDefault="00DF0635" w:rsidP="00DF06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Содан кейін қынаптың артқы күмбезінен жағынды алып, заттық әйнектің ортасына жағады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Куско айнасын жауып, ақырын қынаптан шығарып дезенфекциялық сұйықтыққа салады.</w:t>
            </w: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F0635" w:rsidRPr="00DF0635" w:rsidRDefault="00DF0635" w:rsidP="00DF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sz w:val="24"/>
                <w:szCs w:val="24"/>
                <w:lang w:val="kk-KZ"/>
              </w:rPr>
              <w:t>Жағындыны ауада құрғатып, жолдамамен зертханаға жібереді</w:t>
            </w:r>
            <w:r w:rsidRPr="00DF06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F06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Қолғаптарды шешеміз және утилизацияға арналған арнайы контейнерге саламыз. Қолды сабындап жуып, орамалмен сүртеміз.</w:t>
            </w:r>
          </w:p>
          <w:p w:rsidR="00DF0635" w:rsidRPr="00DF0635" w:rsidRDefault="00DF0635" w:rsidP="00475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thickThinSmallGap" w:sz="18" w:space="0" w:color="auto"/>
              <w:bottom w:val="thinThickSmallGap" w:sz="24" w:space="0" w:color="auto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Default="00DF0635" w:rsidP="0047569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Default="00DF0635" w:rsidP="0047569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</w:tcPr>
          <w:p w:rsidR="00DF0635" w:rsidRPr="00DF0635" w:rsidRDefault="00DF0635" w:rsidP="0047569E">
            <w:pPr>
              <w:spacing w:after="0" w:line="240" w:lineRule="auto"/>
              <w:ind w:firstLine="34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</w:p>
          <w:p w:rsid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DF0635" w:rsidRPr="00DF0635" w:rsidRDefault="00DF0635" w:rsidP="0047569E">
            <w:pPr>
              <w:spacing w:after="0" w:line="240" w:lineRule="auto"/>
              <w:ind w:firstLine="34"/>
              <w:rPr>
                <w:rFonts w:ascii="KZ Times New Roman" w:eastAsia="Times New Roman" w:hAnsi="KZ Times New Roman" w:cs="Times New Roman"/>
                <w:sz w:val="24"/>
                <w:szCs w:val="24"/>
              </w:rPr>
            </w:pPr>
            <w:r w:rsidRPr="00DF0635">
              <w:rPr>
                <w:rFonts w:ascii="KZ Times New Roman" w:eastAsia="Times New Roman" w:hAnsi="KZ Times New Roman" w:cs="Times New Roman"/>
                <w:sz w:val="24"/>
                <w:szCs w:val="24"/>
              </w:rPr>
              <w:t>2,5</w:t>
            </w:r>
          </w:p>
        </w:tc>
      </w:tr>
    </w:tbl>
    <w:p w:rsidR="00DF0635" w:rsidRDefault="00DF0635" w:rsidP="00DF0635">
      <w:pPr>
        <w:spacing w:after="0" w:line="240" w:lineRule="auto"/>
        <w:ind w:firstLine="2552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DF0635" w:rsidRPr="009F13CF" w:rsidRDefault="00DF0635" w:rsidP="00DF0635">
      <w:pPr>
        <w:spacing w:after="0" w:line="240" w:lineRule="auto"/>
        <w:ind w:firstLine="2552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Этап бойынша жоғарғы балл 100 балл</w:t>
      </w:r>
    </w:p>
    <w:p w:rsidR="00DF0635" w:rsidRDefault="00DF0635" w:rsidP="00DF06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Тапсырманы бағалауға берілген уақыт 5 минут</w:t>
      </w:r>
    </w:p>
    <w:p w:rsidR="00DF0635" w:rsidRDefault="00DF0635" w:rsidP="00DF06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F0635" w:rsidRPr="00C22AB0" w:rsidRDefault="00DF0635" w:rsidP="00DF06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F0635" w:rsidRDefault="00DF0635" w:rsidP="00DF063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DF0635" w:rsidRDefault="00DF0635" w:rsidP="00DF0635">
      <w:pPr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br w:type="page"/>
      </w:r>
    </w:p>
    <w:p w:rsidR="00DF0635" w:rsidRPr="0032591D" w:rsidRDefault="00DF0635" w:rsidP="00DF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kk-KZ"/>
        </w:rPr>
        <w:lastRenderedPageBreak/>
        <w:t>Экзамен тапсырушыға тапсырма</w:t>
      </w:r>
    </w:p>
    <w:p w:rsidR="00DF0635" w:rsidRPr="0032591D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F0635" w:rsidRPr="0032591D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DF0635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635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635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635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635" w:rsidRPr="00CD514E" w:rsidRDefault="00DF0635" w:rsidP="00DF063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0635" w:rsidRDefault="00472047" w:rsidP="00DF0635">
      <w:r w:rsidRPr="0047204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2.4pt;margin-top:94.5pt;width:77.7pt;height:44.55pt;z-index:251655680;mso-width-relative:margin;mso-height-relative:margin">
            <v:textbox>
              <w:txbxContent>
                <w:p w:rsidR="00DF0635" w:rsidRPr="00614453" w:rsidRDefault="00DF0635" w:rsidP="00DF06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kk-KZ"/>
                    </w:rPr>
                    <w:t>КУСКО АЙНАСЫ</w:t>
                  </w:r>
                </w:p>
              </w:txbxContent>
            </v:textbox>
          </v:shape>
        </w:pict>
      </w:r>
      <w:r w:rsidRPr="0047204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pict>
          <v:shape id="_x0000_s1027" type="#_x0000_t202" style="position:absolute;margin-left:168.15pt;margin-top:37.2pt;width:106.8pt;height:26.15pt;z-index:251656704;mso-width-relative:margin;mso-height-relative:margin">
            <v:textbox>
              <w:txbxContent>
                <w:p w:rsidR="00DF0635" w:rsidRPr="00614453" w:rsidRDefault="00DF0635" w:rsidP="00DF06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kk-KZ"/>
                    </w:rPr>
                    <w:t>қуық</w:t>
                  </w:r>
                </w:p>
              </w:txbxContent>
            </v:textbox>
          </v:shape>
        </w:pict>
      </w:r>
      <w:r w:rsidRPr="0047204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pict>
          <v:shape id="_x0000_s1029" type="#_x0000_t202" style="position:absolute;margin-left:9.25pt;margin-top:254.5pt;width:147.4pt;height:26.15pt;z-index:251657728;mso-width-relative:margin;mso-height-relative:margin">
            <v:textbox>
              <w:txbxContent>
                <w:p w:rsidR="00DF0635" w:rsidRPr="00614453" w:rsidRDefault="00DF0635" w:rsidP="00DF06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kk-KZ"/>
                    </w:rPr>
                    <w:t>ЖАТЫР МОЙЫНЫ  момойынықуық</w:t>
                  </w:r>
                </w:p>
              </w:txbxContent>
            </v:textbox>
          </v:shape>
        </w:pict>
      </w:r>
      <w:r w:rsidRPr="0047204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pict>
          <v:shape id="_x0000_s1028" type="#_x0000_t202" style="position:absolute;margin-left:222.4pt;margin-top:254.5pt;width:147.4pt;height:26.15pt;z-index:251658752;mso-width-relative:margin;mso-height-relative:margin">
            <v:textbox>
              <w:txbxContent>
                <w:p w:rsidR="00DF0635" w:rsidRPr="00614453" w:rsidRDefault="00DF0635" w:rsidP="00DF06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kk-KZ"/>
                    </w:rPr>
                    <w:t>ІК ІШЕК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97.8pt;margin-top:11.05pt;width:70.35pt;height:26.15pt;z-index:251659776;mso-width-relative:margin;mso-height-relative:margin">
            <v:textbox>
              <w:txbxContent>
                <w:p w:rsidR="00DF0635" w:rsidRPr="00614453" w:rsidRDefault="00DF0635" w:rsidP="00DF0635">
                  <w:pPr>
                    <w:rPr>
                      <w:b/>
                      <w:sz w:val="28"/>
                      <w:szCs w:val="28"/>
                    </w:rPr>
                  </w:pPr>
                  <w:r w:rsidRPr="00614453">
                    <w:rPr>
                      <w:b/>
                      <w:sz w:val="28"/>
                      <w:szCs w:val="28"/>
                      <w:lang w:val="kk-KZ"/>
                    </w:rPr>
                    <w:t>ЖАТЫР</w:t>
                  </w:r>
                </w:p>
              </w:txbxContent>
            </v:textbox>
          </v:shape>
        </w:pict>
      </w:r>
      <w:r w:rsidR="00DF0635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5444320" cy="3535680"/>
            <wp:effectExtent l="19050" t="0" r="3980" b="0"/>
            <wp:docPr id="2" name="rg_hi" descr="http://t0.gstatic.com/images?q=tbn:ANd9GcTjxO1ierqr2jFGxyMZAWosF1tUht2Iy0yZfMilxg-LOyGF86s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xO1ierqr2jFGxyMZAWosF1tUht2Iy0yZfMilxg-LOyGF86s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54" cy="35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35" w:rsidRDefault="00DF0635" w:rsidP="00DF0635"/>
    <w:p w:rsidR="00DF0635" w:rsidRDefault="00DF0635" w:rsidP="00DF0635">
      <w:pPr>
        <w:contextualSpacing/>
        <w:jc w:val="both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 xml:space="preserve">Фантомда бактериоскопиялық зерттеуге қынаптан жағынды алудың тәжірибелік машықтарын көрсетіңіз. Істеген шараларыңызға түсінік беріңіз. </w:t>
      </w:r>
    </w:p>
    <w:p w:rsidR="001D666D" w:rsidRDefault="001D666D"/>
    <w:sectPr w:rsidR="001D666D" w:rsidSect="003E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33A"/>
    <w:multiLevelType w:val="hybridMultilevel"/>
    <w:tmpl w:val="43FA1F5C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F0635"/>
    <w:rsid w:val="001D666D"/>
    <w:rsid w:val="003D7C5E"/>
    <w:rsid w:val="00472047"/>
    <w:rsid w:val="00733BC4"/>
    <w:rsid w:val="00D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6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35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DF0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kz/imgres?q=%D0%BE%D1%81%D0%BC%D0%BE%D1%82%D1%80+%D1%88%D0%B5%D0%B9%D0%BA%D0%B8+%D0%BC%D0%B0%D1%82%D0%BA%D0%B8+%D0%BD%D0%B0+%D0%B7%D0%B5%D1%80%D0%BA%D0%B0%D0%BB%D0%B0%D1%85&amp;um=1&amp;hl=ru&amp;biw=983&amp;bih=548&amp;tbm=isch&amp;tbnid=dSZsrUP70deKpM:&amp;imgrefurl=http://little-vi-vi.livejournal.com/2248.html&amp;docid=OhF6waiNj9BmjM&amp;imgurl=http://pics.livejournal.com/little_vi_vi/pic/0000kbxh&amp;w=449&amp;h=291&amp;ei=8xmcTtC9Dajg4QTCnsW4BA&amp;zoom=1" TargetMode="External"/><Relationship Id="rId5" Type="http://schemas.openxmlformats.org/officeDocument/2006/relationships/hyperlink" Target="file:///\\&#1060;&#1086;&#1083;&#1100;&#1082;&#1084;&#1072;&#1085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2</cp:revision>
  <dcterms:created xsi:type="dcterms:W3CDTF">2012-12-16T15:48:00Z</dcterms:created>
  <dcterms:modified xsi:type="dcterms:W3CDTF">2012-12-16T15:48:00Z</dcterms:modified>
</cp:coreProperties>
</file>