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4" w:rsidRPr="00436824" w:rsidRDefault="00B87044" w:rsidP="00B8704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Занятие № 10</w:t>
      </w:r>
    </w:p>
    <w:p w:rsidR="00B87044" w:rsidRPr="00436824" w:rsidRDefault="00B87044" w:rsidP="00B8704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>1. Тема: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Гормоны.Строение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классификация гормонов по строению. Общие свойства гормонов. Механизмы действия гормонов. Гормоны </w:t>
      </w:r>
      <w:proofErr w:type="gram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щитовидной</w:t>
      </w:r>
      <w:proofErr w:type="gram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околощитови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д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ных желез. Биохимические основы 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гипер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- и гипофункции щитовидной железы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2. Цель:</w:t>
      </w:r>
      <w:r w:rsidRPr="004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1) сформировать знание о гормонах, об их общих свойствах и механизмах действия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2) сформировать знания о гормонах, регулирующих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кальций-фосфорный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обмен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3) сформировать знания о механизмах действия и физиологическом значении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гормонов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6824">
        <w:rPr>
          <w:rFonts w:ascii="Times New Roman" w:hAnsi="Times New Roman" w:cs="Times New Roman"/>
          <w:sz w:val="24"/>
          <w:szCs w:val="24"/>
        </w:rPr>
        <w:t>) формировать стремление к самосовершенствованию путем получения знаний из допо</w:t>
      </w:r>
      <w:r w:rsidRPr="00436824">
        <w:rPr>
          <w:rFonts w:ascii="Times New Roman" w:hAnsi="Times New Roman" w:cs="Times New Roman"/>
          <w:sz w:val="24"/>
          <w:szCs w:val="24"/>
        </w:rPr>
        <w:t>л</w:t>
      </w:r>
      <w:r w:rsidRPr="00436824">
        <w:rPr>
          <w:rFonts w:ascii="Times New Roman" w:hAnsi="Times New Roman" w:cs="Times New Roman"/>
          <w:sz w:val="24"/>
          <w:szCs w:val="24"/>
        </w:rPr>
        <w:t>нительной литературы и интернета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3.Задачи обучения: 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 Рассмотреть классификацию гормонов и современные представления о механизмах действия гормонов.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2. Научить применять знания о механизмах действия  гормонов в объяснении физиол</w:t>
      </w:r>
      <w:r w:rsidRPr="00436824">
        <w:rPr>
          <w:rFonts w:ascii="Times New Roman" w:hAnsi="Times New Roman" w:cs="Times New Roman"/>
          <w:sz w:val="24"/>
          <w:szCs w:val="24"/>
        </w:rPr>
        <w:t>о</w:t>
      </w:r>
      <w:r w:rsidRPr="00436824">
        <w:rPr>
          <w:rFonts w:ascii="Times New Roman" w:hAnsi="Times New Roman" w:cs="Times New Roman"/>
          <w:sz w:val="24"/>
          <w:szCs w:val="24"/>
        </w:rPr>
        <w:t>гического действия того или иного гормона.</w:t>
      </w:r>
    </w:p>
    <w:p w:rsidR="00B8704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3.Рассмотреть механизмы действия и влияние на органы-мишени гормонов, регулиру</w:t>
      </w:r>
      <w:r w:rsidRPr="00436824">
        <w:rPr>
          <w:rFonts w:ascii="Times New Roman" w:hAnsi="Times New Roman" w:cs="Times New Roman"/>
          <w:sz w:val="24"/>
          <w:szCs w:val="24"/>
        </w:rPr>
        <w:t>ю</w:t>
      </w:r>
      <w:r w:rsidRPr="00436824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кальций-фосфорный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обмен.</w:t>
      </w:r>
    </w:p>
    <w:p w:rsidR="00B8704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2CA1">
        <w:rPr>
          <w:rFonts w:ascii="Times New Roman" w:hAnsi="Times New Roman" w:cs="Times New Roman"/>
          <w:sz w:val="24"/>
          <w:szCs w:val="24"/>
        </w:rPr>
        <w:t xml:space="preserve"> </w:t>
      </w:r>
      <w:r w:rsidRPr="00436824">
        <w:rPr>
          <w:rFonts w:ascii="Times New Roman" w:hAnsi="Times New Roman" w:cs="Times New Roman"/>
          <w:sz w:val="24"/>
          <w:szCs w:val="24"/>
        </w:rPr>
        <w:t>Рассмотреть механизмы действия и вли</w:t>
      </w:r>
      <w:r>
        <w:rPr>
          <w:rFonts w:ascii="Times New Roman" w:hAnsi="Times New Roman" w:cs="Times New Roman"/>
          <w:sz w:val="24"/>
          <w:szCs w:val="24"/>
        </w:rPr>
        <w:t xml:space="preserve">яние на органы-мишени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гормонов.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6824">
        <w:rPr>
          <w:rFonts w:ascii="Times New Roman" w:hAnsi="Times New Roman" w:cs="Times New Roman"/>
          <w:sz w:val="24"/>
          <w:szCs w:val="24"/>
        </w:rPr>
        <w:t>. Стимулировать студентов к изучению профессиональной литературы и поиску и</w:t>
      </w:r>
      <w:r w:rsidRPr="00436824">
        <w:rPr>
          <w:rFonts w:ascii="Times New Roman" w:hAnsi="Times New Roman" w:cs="Times New Roman"/>
          <w:sz w:val="24"/>
          <w:szCs w:val="24"/>
        </w:rPr>
        <w:t>н</w:t>
      </w:r>
      <w:r w:rsidRPr="00436824">
        <w:rPr>
          <w:rFonts w:ascii="Times New Roman" w:hAnsi="Times New Roman" w:cs="Times New Roman"/>
          <w:sz w:val="24"/>
          <w:szCs w:val="24"/>
        </w:rPr>
        <w:t>формации в интернете.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6824">
        <w:rPr>
          <w:rFonts w:ascii="Times New Roman" w:hAnsi="Times New Roman" w:cs="Times New Roman"/>
          <w:sz w:val="24"/>
          <w:szCs w:val="24"/>
        </w:rPr>
        <w:t xml:space="preserve">.Ввести новые понятия и дать определение терминам: циклические нуклеотиды,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</w:t>
      </w:r>
      <w:r w:rsidRPr="0043682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нилатциклаза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гуанилатциклаза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r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36824">
        <w:rPr>
          <w:rFonts w:ascii="Times New Roman" w:hAnsi="Times New Roman" w:cs="Times New Roman"/>
          <w:sz w:val="24"/>
          <w:szCs w:val="24"/>
        </w:rPr>
        <w:t xml:space="preserve">-белок,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кальмодулин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белок-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аквапорин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тирозинкина</w:t>
      </w:r>
      <w:r w:rsidRPr="00436824">
        <w:rPr>
          <w:rFonts w:ascii="Times New Roman" w:hAnsi="Times New Roman" w:cs="Times New Roman"/>
          <w:sz w:val="24"/>
          <w:szCs w:val="24"/>
        </w:rPr>
        <w:t>з</w:t>
      </w:r>
      <w:r w:rsidRPr="00436824">
        <w:rPr>
          <w:rFonts w:ascii="Times New Roman" w:hAnsi="Times New Roman" w:cs="Times New Roman"/>
          <w:sz w:val="24"/>
          <w:szCs w:val="24"/>
        </w:rPr>
        <w:t>ная-фосфатазная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система,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</w:t>
      </w:r>
    </w:p>
    <w:p w:rsidR="00B87044" w:rsidRPr="00436824" w:rsidRDefault="00B87044" w:rsidP="00B8704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</w:rPr>
        <w:t xml:space="preserve"> 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4.Основные вопросы темы: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</w:t>
      </w:r>
      <w:r>
        <w:rPr>
          <w:rFonts w:ascii="Times New Roman" w:hAnsi="Times New Roman" w:cs="Times New Roman"/>
          <w:sz w:val="24"/>
          <w:szCs w:val="24"/>
        </w:rPr>
        <w:t>Понятия о м</w:t>
      </w:r>
      <w:r w:rsidRPr="00436824">
        <w:rPr>
          <w:rFonts w:ascii="Times New Roman" w:hAnsi="Times New Roman" w:cs="Times New Roman"/>
          <w:sz w:val="24"/>
          <w:szCs w:val="24"/>
        </w:rPr>
        <w:t>еханизм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 гормонов: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а)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-изменение активности внутриклеточных ферментов за счет их модификации: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 гуанилатциклазную , 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б)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второ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изменение скорости синтеза белков. </w:t>
      </w:r>
    </w:p>
    <w:p w:rsidR="00B8704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в)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трет</w:t>
      </w:r>
      <w:r>
        <w:rPr>
          <w:rFonts w:ascii="Times New Roman" w:hAnsi="Times New Roman" w:cs="Times New Roman"/>
          <w:sz w:val="24"/>
          <w:szCs w:val="24"/>
        </w:rPr>
        <w:t>ьем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изменение активности ферментов и проницаемости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824">
        <w:rPr>
          <w:rFonts w:ascii="Times New Roman" w:hAnsi="Times New Roman" w:cs="Times New Roman"/>
          <w:sz w:val="24"/>
          <w:szCs w:val="24"/>
        </w:rPr>
        <w:t>клеточных мембран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B87044" w:rsidRPr="00436824" w:rsidRDefault="00B87044" w:rsidP="00B8704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>10. Эндемический зоб</w:t>
      </w:r>
      <w:r>
        <w:rPr>
          <w:rFonts w:ascii="Times New Roman" w:hAnsi="Times New Roman"/>
          <w:lang w:val="kk-KZ"/>
        </w:rPr>
        <w:t>.</w:t>
      </w:r>
    </w:p>
    <w:p w:rsidR="00B87044" w:rsidRPr="00436824" w:rsidRDefault="00B87044" w:rsidP="00B8704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</w:rPr>
        <w:t>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36824">
        <w:rPr>
          <w:rFonts w:ascii="Times New Roman" w:hAnsi="Times New Roman" w:cs="Times New Roman"/>
          <w:b/>
          <w:sz w:val="24"/>
          <w:szCs w:val="24"/>
        </w:rPr>
        <w:t>5.Методы обучения и преподавания: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</w:rPr>
        <w:t>Метод-комбинированный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: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1)Комбинированный опрос (устный опрос,  письменный опрос)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Pr="00436824">
        <w:rPr>
          <w:rFonts w:ascii="Times New Roman" w:hAnsi="Times New Roman" w:cs="Times New Roman"/>
          <w:sz w:val="24"/>
          <w:szCs w:val="24"/>
        </w:rPr>
        <w:t>:  электронный вариант лекции по механизмам действия гормонов, т</w:t>
      </w:r>
      <w:r w:rsidRPr="0043682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стовые задания</w:t>
      </w:r>
      <w:r>
        <w:rPr>
          <w:rFonts w:ascii="Times New Roman" w:hAnsi="Times New Roman" w:cs="Times New Roman"/>
          <w:sz w:val="24"/>
          <w:szCs w:val="24"/>
        </w:rPr>
        <w:t>, билеты для письменного опроса.</w:t>
      </w:r>
    </w:p>
    <w:p w:rsidR="00B87044" w:rsidRPr="00436824" w:rsidRDefault="00B87044" w:rsidP="00A1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36824">
        <w:rPr>
          <w:rFonts w:ascii="Times New Roman" w:hAnsi="Times New Roman" w:cs="Times New Roman"/>
          <w:b/>
          <w:sz w:val="24"/>
          <w:szCs w:val="24"/>
        </w:rPr>
        <w:t>1</w:t>
      </w:r>
      <w:r w:rsidRPr="00436824">
        <w:rPr>
          <w:rFonts w:ascii="Times New Roman" w:hAnsi="Times New Roman" w:cs="Times New Roman"/>
          <w:b/>
          <w:i/>
          <w:sz w:val="24"/>
          <w:szCs w:val="24"/>
        </w:rPr>
        <w:t>.Устный опрос по следующим вопросам темы: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1.Дать понятие о нейроэндокринной регуляции.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2. Понятие о гормонах. Классификация гормонов по химической природе.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3. Понятие о механизмах действия гормонов: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 гуанилатциклазную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6824">
        <w:rPr>
          <w:rFonts w:ascii="Times New Roman" w:hAnsi="Times New Roman" w:cs="Times New Roman"/>
          <w:i/>
          <w:sz w:val="24"/>
          <w:szCs w:val="24"/>
        </w:rPr>
        <w:t>При разборе первого механизма предлагается использовать метод «грозди»</w:t>
      </w:r>
      <w:proofErr w:type="gramStart"/>
      <w:r w:rsidRPr="00436824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36824">
        <w:rPr>
          <w:rFonts w:ascii="Times New Roman" w:hAnsi="Times New Roman" w:cs="Times New Roman"/>
          <w:i/>
          <w:sz w:val="24"/>
          <w:szCs w:val="24"/>
        </w:rPr>
        <w:t>сю инфо</w:t>
      </w:r>
      <w:r w:rsidRPr="00436824">
        <w:rPr>
          <w:rFonts w:ascii="Times New Roman" w:hAnsi="Times New Roman" w:cs="Times New Roman"/>
          <w:i/>
          <w:sz w:val="24"/>
          <w:szCs w:val="24"/>
        </w:rPr>
        <w:t>р</w:t>
      </w:r>
      <w:r w:rsidRPr="00436824">
        <w:rPr>
          <w:rFonts w:ascii="Times New Roman" w:hAnsi="Times New Roman" w:cs="Times New Roman"/>
          <w:i/>
          <w:sz w:val="24"/>
          <w:szCs w:val="24"/>
        </w:rPr>
        <w:t>мацию представить в виде древовидной схемы.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8704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8704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Гормоны, регулирующие кальций-фосфорный обмен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(заполнить таблицу).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49" w:rsidRPr="00542949" w:rsidRDefault="00542949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310"/>
        <w:gridCol w:w="1081"/>
        <w:gridCol w:w="839"/>
        <w:gridCol w:w="1441"/>
        <w:gridCol w:w="1861"/>
        <w:gridCol w:w="1636"/>
      </w:tblGrid>
      <w:tr w:rsidR="00C05F22" w:rsidRPr="00542949" w:rsidTr="00C05F22">
        <w:tc>
          <w:tcPr>
            <w:tcW w:w="1551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Гормон</w:t>
            </w:r>
          </w:p>
        </w:tc>
        <w:tc>
          <w:tcPr>
            <w:tcW w:w="1287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1044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26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415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</w:tc>
        <w:tc>
          <w:tcPr>
            <w:tcW w:w="1967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657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</w:tr>
      <w:tr w:rsidR="00C05F22" w:rsidRPr="00542949" w:rsidTr="00C05F22">
        <w:tc>
          <w:tcPr>
            <w:tcW w:w="1551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1287" w:type="dxa"/>
          </w:tcPr>
          <w:p w:rsidR="00542949" w:rsidRDefault="00C64E5C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5C" w:rsidRPr="00542949" w:rsidRDefault="00C64E5C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1044" w:type="dxa"/>
          </w:tcPr>
          <w:p w:rsidR="00542949" w:rsidRPr="00542949" w:rsidRDefault="00C64E5C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826" w:type="dxa"/>
          </w:tcPr>
          <w:p w:rsidR="00542949" w:rsidRP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30.45pt;margin-top:1.45pt;width:0;height:12.75pt;z-index:25167872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64E5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="00C64E5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1415" w:type="dxa"/>
          </w:tcPr>
          <w:p w:rsid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21.5pt;margin-top:19.45pt;width:0;height:15pt;z-index:251679744;mso-position-horizontal-relative:text;mso-position-vertical-relative:text" o:connectortype="straight">
                  <v:stroke endarrow="block"/>
                </v:shape>
              </w:pic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4E5C">
              <w:rPr>
                <w:rFonts w:ascii="Times New Roman" w:hAnsi="Times New Roman" w:cs="Times New Roman"/>
                <w:sz w:val="24"/>
                <w:szCs w:val="24"/>
              </w:rPr>
              <w:t>сасывание</w:t>
            </w:r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967" w:type="dxa"/>
          </w:tcPr>
          <w:p w:rsidR="00542949" w:rsidRP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39.7pt;margin-top:14.2pt;width:0;height:12pt;z-index:251692032;mso-position-horizontal-relative:text;mso-position-vertical-relative:text" o:connectortype="straight">
                  <v:stroke endarrow="block"/>
                </v:shape>
              </w:pict>
            </w:r>
            <w:r w:rsidR="000F1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езорбц</w: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57" w:type="dxa"/>
          </w:tcPr>
          <w:p w:rsid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42.65pt;margin-top:19.45pt;width:0;height:15pt;flip:y;z-index:251698176;mso-position-horizontal-relative:text;mso-position-vertical-relative:text" o:connectortype="straight">
                  <v:stroke endarrow="block"/>
                </v:shape>
              </w:pic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Экскреция</w:t>
            </w:r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F22" w:rsidRPr="00542949" w:rsidTr="00C05F22">
        <w:tc>
          <w:tcPr>
            <w:tcW w:w="1551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1287" w:type="dxa"/>
          </w:tcPr>
          <w:p w:rsid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Паращит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1044" w:type="dxa"/>
          </w:tcPr>
          <w:p w:rsidR="00542949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АК</w:t>
            </w:r>
          </w:p>
        </w:tc>
        <w:tc>
          <w:tcPr>
            <w:tcW w:w="826" w:type="dxa"/>
          </w:tcPr>
          <w:p w:rsid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21.9pt;margin-top:.2pt;width:0;height:13.5pt;flip:y;z-index:25168076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C05F22" w:rsidRP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14.4pt;margin-top:.6pt;width:.75pt;height:18.75pt;z-index:251681792" o:connectortype="straight">
                  <v:stroke endarrow="block"/>
                </v:shape>
              </w:pict>
            </w:r>
            <w:proofErr w:type="gram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5" w:type="dxa"/>
          </w:tcPr>
          <w:p w:rsidR="00C05F22" w:rsidRP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15pt;margin-top:18.95pt;width:22.5pt;height:.05pt;z-index:251687936;mso-position-horizontal-relative:text;mso-position-vertical-relative:text" o:connectortype="straight"/>
              </w:pict>
            </w:r>
          </w:p>
        </w:tc>
        <w:tc>
          <w:tcPr>
            <w:tcW w:w="1967" w:type="dxa"/>
          </w:tcPr>
          <w:p w:rsidR="00542949" w:rsidRP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47.2pt;margin-top:13.7pt;width:.75pt;height:12.75pt;flip:x y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38.95pt;margin-top:13.7pt;width:.75pt;height:12.75pt;flip:x y;z-index:251688960;mso-position-horizontal-relative:text;mso-position-vertical-relative:text" o:connectortype="straight">
                  <v:stroke endarrow="block"/>
                </v:shape>
              </w:pic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Резорбция к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657" w:type="dxa"/>
          </w:tcPr>
          <w:p w:rsidR="00542949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64.2pt;margin-top:38.45pt;width:0;height:15.75pt;flip:y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17.7pt;margin-top:13.7pt;width:0;height:12.75pt;flip:y;z-index:25168384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A6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еабсорбция</w:t>
            </w:r>
            <w:proofErr w:type="spellEnd"/>
            <w:r w:rsidR="00C0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экскреция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30527" w:rsidRPr="00542949" w:rsidTr="00C05F22">
        <w:tc>
          <w:tcPr>
            <w:tcW w:w="1551" w:type="dxa"/>
          </w:tcPr>
          <w:p w:rsidR="00E30527" w:rsidRPr="00542949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1287" w:type="dxa"/>
          </w:tcPr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826" w:type="dxa"/>
          </w:tcPr>
          <w:p w:rsidR="003F10DD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21.9pt;margin-top:22.85pt;width:0;height:19.2pt;flip:y;z-index:251693056;mso-position-horizontal-relative:text;mso-position-vertical-relative:text" o:connectortype="straight">
                  <v:stroke endarrow="block"/>
                </v:shape>
              </w:pict>
            </w:r>
          </w:p>
          <w:p w:rsidR="00E30527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15.15pt;margin-top:21pt;width:0;height:16.5pt;flip:y;z-index:251694080" o:connectortype="straight">
                  <v:stroke endarrow="block"/>
                </v:shape>
              </w:pict>
            </w:r>
            <w:r w:rsidR="003F10DD">
              <w:rPr>
                <w:rFonts w:ascii="Times New Roman" w:hAnsi="Times New Roman" w:cs="Times New Roman"/>
                <w:noProof/>
                <w:sz w:val="24"/>
                <w:szCs w:val="24"/>
              </w:rPr>
              <w:t>Са</w:t>
            </w:r>
          </w:p>
          <w:p w:rsidR="003F10DD" w:rsidRDefault="003F10DD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</w:p>
        </w:tc>
        <w:tc>
          <w:tcPr>
            <w:tcW w:w="1415" w:type="dxa"/>
          </w:tcPr>
          <w:p w:rsidR="00E30527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21.5pt;margin-top:22.85pt;width:0;height:12pt;flip:y;z-index:251695104;mso-position-horizontal-relative:text;mso-position-vertical-relative:text" o:connectortype="straight">
                  <v:stroke endarrow="block"/>
                </v:shape>
              </w:pict>
            </w:r>
            <w:r w:rsidR="00E30527">
              <w:rPr>
                <w:rFonts w:ascii="Times New Roman" w:hAnsi="Times New Roman" w:cs="Times New Roman"/>
                <w:sz w:val="24"/>
                <w:szCs w:val="24"/>
              </w:rPr>
              <w:t>Всасывание</w:t>
            </w:r>
          </w:p>
          <w:p w:rsidR="00E30527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15pt;margin-top:24.75pt;width:0;height:12.75pt;flip:y;z-index:251696128" o:connectortype="straight">
                  <v:stroke endarrow="block"/>
                </v:shape>
              </w:pict>
            </w:r>
            <w:proofErr w:type="spellStart"/>
            <w:r w:rsidR="00E305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0F1FBF" w:rsidRDefault="000F1FBF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67" w:type="dxa"/>
          </w:tcPr>
          <w:p w:rsidR="00E30527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38.95pt;margin-top:14.6pt;width:.75pt;height:12.75pt;flip:x y;z-index:251691008;mso-position-horizontal-relative:text;mso-position-vertical-relative:text" o:connectortype="straight">
                  <v:stroke endarrow="block"/>
                </v:shape>
              </w:pic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Резорбция к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57" w:type="dxa"/>
          </w:tcPr>
          <w:p w:rsidR="00E30527" w:rsidRDefault="00A13DF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50.15pt;margin-top:14.6pt;width:.75pt;height:12.75pt;flip:x y;z-index:251697152;mso-position-horizontal-relative:text;mso-position-vertical-relative:text" o:connectortype="straight">
                  <v:stroke endarrow="block"/>
                </v:shape>
              </w:pict>
            </w:r>
            <w:r w:rsidR="000F1F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Реабсорбция фосфата </w:t>
            </w:r>
          </w:p>
        </w:tc>
      </w:tr>
    </w:tbl>
    <w:p w:rsidR="00542949" w:rsidRPr="00542949" w:rsidRDefault="00542949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42949" w:rsidRPr="00800FF9" w:rsidRDefault="00542949" w:rsidP="00EC12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F9">
        <w:rPr>
          <w:rFonts w:ascii="Times New Roman" w:hAnsi="Times New Roman" w:cs="Times New Roman"/>
          <w:b/>
          <w:sz w:val="24"/>
          <w:szCs w:val="24"/>
        </w:rPr>
        <w:t xml:space="preserve">Ролевая игра «Гипертиреоз и гипотиреоз».  </w:t>
      </w:r>
      <w:r w:rsidRPr="00800FF9">
        <w:rPr>
          <w:rFonts w:ascii="Times New Roman" w:hAnsi="Times New Roman" w:cs="Times New Roman"/>
          <w:sz w:val="24"/>
          <w:szCs w:val="24"/>
        </w:rPr>
        <w:t>Игра способствует развитию комм</w:t>
      </w:r>
      <w:r w:rsidRPr="00800FF9">
        <w:rPr>
          <w:rFonts w:ascii="Times New Roman" w:hAnsi="Times New Roman" w:cs="Times New Roman"/>
          <w:sz w:val="24"/>
          <w:szCs w:val="24"/>
        </w:rPr>
        <w:t>у</w:t>
      </w:r>
      <w:r w:rsidRPr="00800FF9">
        <w:rPr>
          <w:rFonts w:ascii="Times New Roman" w:hAnsi="Times New Roman" w:cs="Times New Roman"/>
          <w:sz w:val="24"/>
          <w:szCs w:val="24"/>
        </w:rPr>
        <w:t>никативных навыков: умение корректно ставить вопросы, умению общаться «Вр</w:t>
      </w:r>
      <w:r w:rsidRPr="00800FF9">
        <w:rPr>
          <w:rFonts w:ascii="Times New Roman" w:hAnsi="Times New Roman" w:cs="Times New Roman"/>
          <w:sz w:val="24"/>
          <w:szCs w:val="24"/>
        </w:rPr>
        <w:t>а</w:t>
      </w:r>
      <w:r w:rsidRPr="00800FF9">
        <w:rPr>
          <w:rFonts w:ascii="Times New Roman" w:hAnsi="Times New Roman" w:cs="Times New Roman"/>
          <w:sz w:val="24"/>
          <w:szCs w:val="24"/>
        </w:rPr>
        <w:t>чу» с «Пациентом» и наоборот, умению общаться студентов друг с другом и с пр</w:t>
      </w:r>
      <w:r w:rsidRPr="00800FF9">
        <w:rPr>
          <w:rFonts w:ascii="Times New Roman" w:hAnsi="Times New Roman" w:cs="Times New Roman"/>
          <w:sz w:val="24"/>
          <w:szCs w:val="24"/>
        </w:rPr>
        <w:t>е</w:t>
      </w:r>
      <w:r w:rsidRPr="00800FF9">
        <w:rPr>
          <w:rFonts w:ascii="Times New Roman" w:hAnsi="Times New Roman" w:cs="Times New Roman"/>
          <w:sz w:val="24"/>
          <w:szCs w:val="24"/>
        </w:rPr>
        <w:t>подавателем.</w:t>
      </w:r>
    </w:p>
    <w:p w:rsidR="00542949" w:rsidRPr="00542949" w:rsidRDefault="00542949" w:rsidP="00EC12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9">
        <w:rPr>
          <w:rFonts w:ascii="Times New Roman" w:hAnsi="Times New Roman" w:cs="Times New Roman"/>
          <w:b/>
          <w:sz w:val="24"/>
          <w:szCs w:val="24"/>
        </w:rPr>
        <w:t>Гипертиреоз.</w:t>
      </w:r>
    </w:p>
    <w:p w:rsidR="00542949" w:rsidRPr="00542949" w:rsidRDefault="00542949" w:rsidP="00EC1246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>В игре участвуют 3 студента: 1-ы</w:t>
      </w:r>
      <w:proofErr w:type="gramStart"/>
      <w:r w:rsidRPr="0054294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42949">
        <w:rPr>
          <w:rFonts w:ascii="Times New Roman" w:hAnsi="Times New Roman" w:cs="Times New Roman"/>
          <w:sz w:val="24"/>
          <w:szCs w:val="24"/>
        </w:rPr>
        <w:t xml:space="preserve"> «Пациент», 2-ой- «Врач», 3-ий – «Ко</w:t>
      </w:r>
      <w:r w:rsidRPr="00542949">
        <w:rPr>
          <w:rFonts w:ascii="Times New Roman" w:hAnsi="Times New Roman" w:cs="Times New Roman"/>
          <w:sz w:val="24"/>
          <w:szCs w:val="24"/>
        </w:rPr>
        <w:t>м</w:t>
      </w:r>
      <w:r w:rsidRPr="00542949">
        <w:rPr>
          <w:rFonts w:ascii="Times New Roman" w:hAnsi="Times New Roman" w:cs="Times New Roman"/>
          <w:sz w:val="24"/>
          <w:szCs w:val="24"/>
        </w:rPr>
        <w:t>ментатор».</w:t>
      </w:r>
    </w:p>
    <w:p w:rsidR="00542949" w:rsidRPr="00542949" w:rsidRDefault="00542949" w:rsidP="00EC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42949" w:rsidRPr="00542949" w:rsidRDefault="00542949" w:rsidP="00EC12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9">
        <w:rPr>
          <w:rFonts w:ascii="Times New Roman" w:hAnsi="Times New Roman" w:cs="Times New Roman"/>
          <w:b/>
          <w:sz w:val="24"/>
          <w:szCs w:val="24"/>
        </w:rPr>
        <w:t>Гипотиреоз.</w:t>
      </w:r>
    </w:p>
    <w:p w:rsidR="00542949" w:rsidRDefault="00542949" w:rsidP="00EC1246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>В игре участвуют 3 студента: 1-ы</w:t>
      </w:r>
      <w:proofErr w:type="gramStart"/>
      <w:r w:rsidRPr="0054294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42949">
        <w:rPr>
          <w:rFonts w:ascii="Times New Roman" w:hAnsi="Times New Roman" w:cs="Times New Roman"/>
          <w:sz w:val="24"/>
          <w:szCs w:val="24"/>
        </w:rPr>
        <w:t xml:space="preserve"> «Пациент», 2-ой- «Врач», 3-ий – «Ко</w:t>
      </w:r>
      <w:r w:rsidRPr="00542949">
        <w:rPr>
          <w:rFonts w:ascii="Times New Roman" w:hAnsi="Times New Roman" w:cs="Times New Roman"/>
          <w:sz w:val="24"/>
          <w:szCs w:val="24"/>
        </w:rPr>
        <w:t>м</w:t>
      </w:r>
      <w:r w:rsidRPr="00542949">
        <w:rPr>
          <w:rFonts w:ascii="Times New Roman" w:hAnsi="Times New Roman" w:cs="Times New Roman"/>
          <w:sz w:val="24"/>
          <w:szCs w:val="24"/>
        </w:rPr>
        <w:t>ментатор».</w:t>
      </w:r>
    </w:p>
    <w:p w:rsidR="00B87044" w:rsidRDefault="00B87044">
      <w:pPr>
        <w:rPr>
          <w:rFonts w:ascii="Times New Roman" w:hAnsi="Times New Roman" w:cs="Times New Roman"/>
        </w:rPr>
      </w:pPr>
    </w:p>
    <w:p w:rsidR="00B87044" w:rsidRDefault="00B87044">
      <w:pPr>
        <w:rPr>
          <w:rFonts w:ascii="Times New Roman" w:hAnsi="Times New Roman" w:cs="Times New Roman"/>
        </w:rPr>
      </w:pPr>
    </w:p>
    <w:p w:rsidR="00B87044" w:rsidRDefault="00B87044">
      <w:pPr>
        <w:rPr>
          <w:rFonts w:ascii="Times New Roman" w:hAnsi="Times New Roman" w:cs="Times New Roman"/>
        </w:rPr>
      </w:pPr>
    </w:p>
    <w:p w:rsidR="00542949" w:rsidRPr="00FF6507" w:rsidRDefault="00542949">
      <w:pPr>
        <w:rPr>
          <w:rFonts w:ascii="Times New Roman" w:hAnsi="Times New Roman" w:cs="Times New Roman"/>
          <w:lang w:val="kk-KZ"/>
        </w:rPr>
      </w:pPr>
      <w:r w:rsidRPr="00FF6507">
        <w:rPr>
          <w:rFonts w:ascii="Times New Roman" w:hAnsi="Times New Roman" w:cs="Times New Roman"/>
        </w:rPr>
        <w:t xml:space="preserve">                                            </w:t>
      </w:r>
      <w:r w:rsidRPr="00FF6507">
        <w:rPr>
          <w:rFonts w:ascii="Times New Roman" w:hAnsi="Times New Roman" w:cs="Times New Roman"/>
          <w:lang w:val="kk-KZ"/>
        </w:rPr>
        <w:t>І-ый механизм действия гормонов</w:t>
      </w:r>
    </w:p>
    <w:p w:rsidR="00542949" w:rsidRPr="00FF6507" w:rsidRDefault="00A13D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73" type="#_x0000_t32" style="position:absolute;margin-left:265.4pt;margin-top:7.15pt;width:86.8pt;height:21.1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226.2pt;margin-top:14.75pt;width:9pt;height:3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68.45pt;margin-top:14.75pt;width:.75pt;height:30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59.7pt;margin-top:14.75pt;width:69.75pt;height:35.25pt;flip:x;z-index:251661312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                                         Гормон-рецепторный комплекс</w:t>
      </w:r>
    </w:p>
    <w:p w:rsidR="00542949" w:rsidRPr="00FF6507" w:rsidRDefault="00A13D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394.95pt;margin-top:14.2pt;width:9pt;height:11.2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352.2pt;margin-top:13.3pt;width:9.75pt;height:12.15pt;flip:x;z-index:251701248" o:connectortype="straight">
            <v:stroke endarrow="block"/>
          </v:shape>
        </w:pict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  <w:t>Фосфолипаза С</w:t>
      </w:r>
    </w:p>
    <w:p w:rsidR="00542949" w:rsidRPr="00FF6507" w:rsidRDefault="00A13D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402.45pt;margin-top:15.15pt;width:1.5pt;height:51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357.45pt;margin-top:9.9pt;width:0;height:1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239.7pt;margin-top:15.15pt;width:2.25pt;height:8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42.95pt;margin-top:9.9pt;width:0;height:13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42.45pt;margin-top:9.9pt;width:0;height:11.25pt;z-index:251665408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>Аденилатциклаза            Гуанилатциклаза            Са</w:t>
      </w:r>
      <w:r w:rsidR="00542949" w:rsidRPr="00FF6507">
        <w:rPr>
          <w:rFonts w:ascii="Times New Roman" w:hAnsi="Times New Roman" w:cs="Times New Roman"/>
          <w:vertAlign w:val="superscript"/>
          <w:lang w:val="kk-KZ"/>
        </w:rPr>
        <w:t xml:space="preserve">2+      </w:t>
      </w:r>
      <w:r w:rsidR="00542949" w:rsidRPr="00FF6507">
        <w:rPr>
          <w:rFonts w:ascii="Times New Roman" w:hAnsi="Times New Roman" w:cs="Times New Roman"/>
          <w:lang w:val="kk-KZ"/>
        </w:rPr>
        <w:t xml:space="preserve">                               ИТФ   и     ДАГ</w:t>
      </w:r>
    </w:p>
    <w:p w:rsidR="00542949" w:rsidRPr="00FF6507" w:rsidRDefault="00A13D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361.95pt;margin-top:14.6pt;width:0;height:27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142.95pt;margin-top:14.6pt;width:0;height:36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42.45pt;margin-top:14.6pt;width:0;height:32.25pt;z-index:251666432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           цАМФ                         цГМФ                  </w:t>
      </w:r>
      <w:r w:rsidR="004C654B" w:rsidRPr="00FF6507">
        <w:rPr>
          <w:rFonts w:ascii="Times New Roman" w:hAnsi="Times New Roman" w:cs="Times New Roman"/>
          <w:lang w:val="kk-KZ"/>
        </w:rPr>
        <w:t>1)</w:t>
      </w:r>
      <w:r w:rsidR="00542949" w:rsidRPr="00FF6507">
        <w:rPr>
          <w:rFonts w:ascii="Times New Roman" w:hAnsi="Times New Roman" w:cs="Times New Roman"/>
          <w:lang w:val="kk-KZ"/>
        </w:rPr>
        <w:t xml:space="preserve"> Са-Mg-кальмодулин           ЭПР       </w:t>
      </w:r>
    </w:p>
    <w:p w:rsidR="00542949" w:rsidRPr="00FF6507" w:rsidRDefault="00A13D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259.2pt;margin-top:9.55pt;width:0;height:17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313.2pt;margin-top:9.55pt;width:39pt;height:21pt;flip:x y;z-index:251673600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                                                                             </w:t>
      </w:r>
      <w:r w:rsidR="004C654B" w:rsidRPr="00FF6507">
        <w:rPr>
          <w:rFonts w:ascii="Times New Roman" w:hAnsi="Times New Roman" w:cs="Times New Roman"/>
        </w:rPr>
        <w:t>2)</w:t>
      </w:r>
      <w:r w:rsidR="00542949" w:rsidRPr="00FF6507">
        <w:rPr>
          <w:rFonts w:ascii="Times New Roman" w:hAnsi="Times New Roman" w:cs="Times New Roman"/>
          <w:lang w:val="kk-KZ"/>
        </w:rPr>
        <w:t xml:space="preserve"> 4Са-кальмодулин</w:t>
      </w:r>
    </w:p>
    <w:p w:rsidR="004C654B" w:rsidRPr="00FF6507" w:rsidRDefault="00A13DF9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45" type="#_x0000_t32" style="position:absolute;margin-left:196.2pt;margin-top:16.2pt;width:212.25pt;height:140.4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149.7pt;margin-top:21pt;width:3pt;height:108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52.95pt;margin-top:21pt;width:80.25pt;height:108pt;z-index:251674624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Протеинкиназа А  </w:t>
      </w:r>
      <w:r w:rsidR="00177E4B" w:rsidRPr="00FF6507">
        <w:rPr>
          <w:rFonts w:ascii="Times New Roman" w:hAnsi="Times New Roman" w:cs="Times New Roman"/>
          <w:lang w:val="kk-KZ"/>
        </w:rPr>
        <w:t xml:space="preserve">   </w:t>
      </w:r>
      <w:r w:rsidR="004C654B" w:rsidRPr="00FF6507">
        <w:rPr>
          <w:rFonts w:ascii="Times New Roman" w:hAnsi="Times New Roman" w:cs="Times New Roman"/>
          <w:lang w:val="kk-KZ"/>
        </w:rPr>
        <w:t xml:space="preserve">Протеинкиназа </w:t>
      </w:r>
      <w:r w:rsidR="004C654B" w:rsidRPr="00FF6507">
        <w:rPr>
          <w:rFonts w:ascii="Times New Roman" w:hAnsi="Times New Roman" w:cs="Times New Roman"/>
          <w:lang w:val="en-US"/>
        </w:rPr>
        <w:t>G</w:t>
      </w:r>
      <w:r w:rsidR="004C654B" w:rsidRPr="00FF6507">
        <w:rPr>
          <w:rFonts w:ascii="Times New Roman" w:hAnsi="Times New Roman" w:cs="Times New Roman"/>
          <w:lang w:val="kk-KZ"/>
        </w:rPr>
        <w:t xml:space="preserve">   </w:t>
      </w:r>
      <w:r w:rsidR="004C654B" w:rsidRPr="00FF6507">
        <w:rPr>
          <w:rFonts w:ascii="Times New Roman" w:hAnsi="Times New Roman" w:cs="Times New Roman"/>
        </w:rPr>
        <w:t xml:space="preserve">         1)</w:t>
      </w:r>
      <w:r w:rsidR="004C654B" w:rsidRPr="00FF6507">
        <w:rPr>
          <w:rFonts w:ascii="Times New Roman" w:hAnsi="Times New Roman" w:cs="Times New Roman"/>
          <w:lang w:val="kk-KZ"/>
        </w:rPr>
        <w:t xml:space="preserve">аденилатциклаза                     Са   </w:t>
      </w:r>
      <w:r w:rsidR="0021772C" w:rsidRPr="00FF6507">
        <w:rPr>
          <w:rFonts w:ascii="Times New Roman" w:hAnsi="Times New Roman" w:cs="Times New Roman"/>
          <w:lang w:val="kk-KZ"/>
        </w:rPr>
        <w:t xml:space="preserve">  </w:t>
      </w:r>
      <w:r w:rsidR="004C654B" w:rsidRPr="00FF6507">
        <w:rPr>
          <w:rFonts w:ascii="Times New Roman" w:hAnsi="Times New Roman" w:cs="Times New Roman"/>
          <w:lang w:val="kk-KZ"/>
        </w:rPr>
        <w:t xml:space="preserve">Протеинкиназа </w:t>
      </w:r>
      <w:r w:rsidR="005330E9" w:rsidRPr="00FF6507">
        <w:rPr>
          <w:rFonts w:ascii="Times New Roman" w:hAnsi="Times New Roman" w:cs="Times New Roman"/>
          <w:lang w:val="kk-KZ"/>
        </w:rPr>
        <w:t>С</w:t>
      </w:r>
    </w:p>
    <w:p w:rsidR="004C654B" w:rsidRPr="00FF6507" w:rsidRDefault="004C654B" w:rsidP="004C654B">
      <w:pPr>
        <w:rPr>
          <w:rFonts w:ascii="Times New Roman" w:hAnsi="Times New Roman" w:cs="Times New Roman"/>
        </w:rPr>
      </w:pPr>
      <w:r w:rsidRPr="00FF6507">
        <w:rPr>
          <w:rFonts w:ascii="Times New Roman" w:hAnsi="Times New Roman" w:cs="Times New Roman"/>
          <w:lang w:val="kk-KZ"/>
        </w:rPr>
        <w:t xml:space="preserve">                                                                           </w:t>
      </w:r>
      <w:r w:rsidR="00177E4B" w:rsidRPr="00FF6507">
        <w:rPr>
          <w:rFonts w:ascii="Times New Roman" w:hAnsi="Times New Roman" w:cs="Times New Roman"/>
          <w:lang w:val="kk-KZ"/>
        </w:rPr>
        <w:t xml:space="preserve">  </w:t>
      </w:r>
      <w:r w:rsidRPr="00FF6507">
        <w:rPr>
          <w:rFonts w:ascii="Times New Roman" w:hAnsi="Times New Roman" w:cs="Times New Roman"/>
          <w:lang w:val="kk-KZ"/>
        </w:rPr>
        <w:t>2</w:t>
      </w:r>
      <w:r w:rsidRPr="00FF6507">
        <w:rPr>
          <w:rFonts w:ascii="Times New Roman" w:hAnsi="Times New Roman" w:cs="Times New Roman"/>
        </w:rPr>
        <w:t>)</w:t>
      </w:r>
      <w:proofErr w:type="spellStart"/>
      <w:r w:rsidRPr="00FF6507">
        <w:rPr>
          <w:rFonts w:ascii="Times New Roman" w:hAnsi="Times New Roman" w:cs="Times New Roman"/>
        </w:rPr>
        <w:t>гуанилатциклаза</w:t>
      </w:r>
      <w:proofErr w:type="spellEnd"/>
      <w:r w:rsidRPr="00FF6507">
        <w:rPr>
          <w:rFonts w:ascii="Times New Roman" w:hAnsi="Times New Roman" w:cs="Times New Roman"/>
        </w:rPr>
        <w:t>,</w:t>
      </w:r>
    </w:p>
    <w:p w:rsidR="004C654B" w:rsidRPr="00FF6507" w:rsidRDefault="004C654B" w:rsidP="004C654B">
      <w:pPr>
        <w:rPr>
          <w:rFonts w:ascii="Times New Roman" w:hAnsi="Times New Roman" w:cs="Times New Roman"/>
        </w:rPr>
      </w:pPr>
      <w:r w:rsidRPr="00FF6507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FF6507">
        <w:rPr>
          <w:rFonts w:ascii="Times New Roman" w:hAnsi="Times New Roman" w:cs="Times New Roman"/>
        </w:rPr>
        <w:t>Са-кальмодулинзависимая</w:t>
      </w:r>
      <w:proofErr w:type="spellEnd"/>
      <w:r w:rsidRPr="00FF6507">
        <w:rPr>
          <w:rFonts w:ascii="Times New Roman" w:hAnsi="Times New Roman" w:cs="Times New Roman"/>
        </w:rPr>
        <w:t xml:space="preserve"> </w:t>
      </w:r>
    </w:p>
    <w:p w:rsidR="004C654B" w:rsidRPr="00FF6507" w:rsidRDefault="00A13DF9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173.7pt;margin-top:19.4pt;width:76.5pt;height:43.5pt;flip:x;z-index:251676672" o:connectortype="straight">
            <v:stroke endarrow="block"/>
          </v:shape>
        </w:pict>
      </w:r>
      <w:r w:rsidR="004C654B" w:rsidRPr="00FF650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="0021772C" w:rsidRPr="00FF6507">
        <w:rPr>
          <w:rFonts w:ascii="Times New Roman" w:hAnsi="Times New Roman" w:cs="Times New Roman"/>
        </w:rPr>
        <w:t>п</w:t>
      </w:r>
      <w:r w:rsidR="004C654B" w:rsidRPr="00FF6507">
        <w:rPr>
          <w:rFonts w:ascii="Times New Roman" w:hAnsi="Times New Roman" w:cs="Times New Roman"/>
        </w:rPr>
        <w:t>ротеинкиназа</w:t>
      </w:r>
      <w:proofErr w:type="spellEnd"/>
    </w:p>
    <w:p w:rsidR="004C654B" w:rsidRPr="00FF6507" w:rsidRDefault="004C654B" w:rsidP="004C654B">
      <w:pPr>
        <w:rPr>
          <w:rFonts w:ascii="Times New Roman" w:hAnsi="Times New Roman" w:cs="Times New Roman"/>
        </w:rPr>
      </w:pPr>
      <w:r w:rsidRPr="00FF6507">
        <w:rPr>
          <w:rFonts w:ascii="Times New Roman" w:hAnsi="Times New Roman" w:cs="Times New Roman"/>
        </w:rPr>
        <w:t xml:space="preserve">     </w:t>
      </w:r>
    </w:p>
    <w:p w:rsidR="004C654B" w:rsidRPr="00FF6507" w:rsidRDefault="004C654B" w:rsidP="004C654B">
      <w:pPr>
        <w:rPr>
          <w:rFonts w:ascii="Times New Roman" w:hAnsi="Times New Roman" w:cs="Times New Roman"/>
        </w:rPr>
      </w:pPr>
    </w:p>
    <w:p w:rsidR="004C654B" w:rsidRPr="00FF6507" w:rsidRDefault="00A13DF9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19.3pt;margin-top:23.15pt;width:76.9pt;height:7.15pt;z-index:2516602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4C654B" w:rsidRPr="00FF6507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4C654B" w:rsidRPr="00FF6507">
        <w:rPr>
          <w:rFonts w:ascii="Times New Roman" w:hAnsi="Times New Roman" w:cs="Times New Roman"/>
        </w:rPr>
        <w:t>протеинкиназа</w:t>
      </w:r>
      <w:proofErr w:type="spellEnd"/>
    </w:p>
    <w:p w:rsidR="004C654B" w:rsidRPr="00FF6507" w:rsidRDefault="00A13DF9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117.45pt;margin-top:5.75pt;width:83.25pt;height:0;z-index:251658240" o:connectortype="straight" stroked="f" strokeweight="0">
            <v:stroke endarrow="block"/>
            <v:shadow type="perspective" color="#7f7f7f [1601]" offset="1pt" offset2="-3pt"/>
          </v:shape>
        </w:pict>
      </w:r>
      <w:r w:rsidR="004C654B" w:rsidRPr="00FF6507">
        <w:rPr>
          <w:rFonts w:ascii="Times New Roman" w:hAnsi="Times New Roman" w:cs="Times New Roman"/>
        </w:rPr>
        <w:t xml:space="preserve">                   Белок +АТФ                                   </w:t>
      </w:r>
      <w:proofErr w:type="spellStart"/>
      <w:r w:rsidR="004C654B" w:rsidRPr="00FF6507">
        <w:rPr>
          <w:rFonts w:ascii="Times New Roman" w:hAnsi="Times New Roman" w:cs="Times New Roman"/>
        </w:rPr>
        <w:t>Фосфопротеин</w:t>
      </w:r>
      <w:proofErr w:type="spellEnd"/>
      <w:r w:rsidR="004C654B" w:rsidRPr="00FF6507">
        <w:rPr>
          <w:rFonts w:ascii="Times New Roman" w:hAnsi="Times New Roman" w:cs="Times New Roman"/>
        </w:rPr>
        <w:t xml:space="preserve">  + АДФ</w:t>
      </w:r>
    </w:p>
    <w:p w:rsidR="004745C5" w:rsidRPr="00FF6507" w:rsidRDefault="0000350A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FF6507">
        <w:rPr>
          <w:rFonts w:ascii="Times New Roman" w:hAnsi="Times New Roman" w:cs="Times New Roman"/>
          <w:b/>
          <w:sz w:val="24"/>
          <w:szCs w:val="24"/>
        </w:rPr>
        <w:t>аденилатциклазной</w:t>
      </w:r>
      <w:proofErr w:type="spellEnd"/>
      <w:r w:rsidRPr="00FF6507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Pr="00FF6507">
        <w:rPr>
          <w:rFonts w:ascii="Times New Roman" w:hAnsi="Times New Roman" w:cs="Times New Roman"/>
          <w:sz w:val="24"/>
          <w:szCs w:val="24"/>
        </w:rPr>
        <w:t xml:space="preserve"> вызывает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ядерных,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рибос</w:t>
      </w:r>
      <w:r w:rsidRPr="00FF6507">
        <w:rPr>
          <w:rFonts w:ascii="Times New Roman" w:hAnsi="Times New Roman" w:cs="Times New Roman"/>
          <w:sz w:val="24"/>
          <w:szCs w:val="24"/>
        </w:rPr>
        <w:t>о</w:t>
      </w:r>
      <w:r w:rsidRPr="00FF6507">
        <w:rPr>
          <w:rFonts w:ascii="Times New Roman" w:hAnsi="Times New Roman" w:cs="Times New Roman"/>
          <w:sz w:val="24"/>
          <w:szCs w:val="24"/>
        </w:rPr>
        <w:t>мальных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и мембранных белков, а также</w:t>
      </w:r>
      <w:r w:rsidR="00177E4B" w:rsidRPr="00FF6507">
        <w:rPr>
          <w:rFonts w:ascii="Times New Roman" w:hAnsi="Times New Roman" w:cs="Times New Roman"/>
          <w:sz w:val="24"/>
          <w:szCs w:val="24"/>
        </w:rPr>
        <w:t xml:space="preserve"> </w:t>
      </w:r>
      <w:r w:rsidRPr="00FF6507">
        <w:rPr>
          <w:rFonts w:ascii="Times New Roman" w:hAnsi="Times New Roman" w:cs="Times New Roman"/>
          <w:sz w:val="24"/>
          <w:szCs w:val="24"/>
        </w:rPr>
        <w:t xml:space="preserve">ферментов 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фосфорилазы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и липазы. Поэтому ус</w:t>
      </w:r>
      <w:r w:rsidRPr="00FF6507">
        <w:rPr>
          <w:rFonts w:ascii="Times New Roman" w:hAnsi="Times New Roman" w:cs="Times New Roman"/>
          <w:sz w:val="24"/>
          <w:szCs w:val="24"/>
        </w:rPr>
        <w:t>и</w:t>
      </w:r>
      <w:r w:rsidRPr="00FF6507">
        <w:rPr>
          <w:rFonts w:ascii="Times New Roman" w:hAnsi="Times New Roman" w:cs="Times New Roman"/>
          <w:sz w:val="24"/>
          <w:szCs w:val="24"/>
        </w:rPr>
        <w:t>ливаются синтез белков, транспо</w:t>
      </w:r>
      <w:proofErr w:type="gramStart"/>
      <w:r w:rsidRPr="00FF6507">
        <w:rPr>
          <w:rFonts w:ascii="Times New Roman" w:hAnsi="Times New Roman" w:cs="Times New Roman"/>
          <w:sz w:val="24"/>
          <w:szCs w:val="24"/>
        </w:rPr>
        <w:t>рт в кл</w:t>
      </w:r>
      <w:proofErr w:type="gramEnd"/>
      <w:r w:rsidRPr="00FF6507">
        <w:rPr>
          <w:rFonts w:ascii="Times New Roman" w:hAnsi="Times New Roman" w:cs="Times New Roman"/>
          <w:sz w:val="24"/>
          <w:szCs w:val="24"/>
        </w:rPr>
        <w:t xml:space="preserve">етку ионов, распад гликогена путем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фосфоролиза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и распад липидов.</w:t>
      </w:r>
    </w:p>
    <w:p w:rsidR="009665F4" w:rsidRPr="00FF6507" w:rsidRDefault="009665F4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В клетках слизистой кишечника связывание холерного токсина и последующая активация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аденил</w:t>
      </w:r>
      <w:r w:rsidR="004A29B8" w:rsidRPr="00FF6507">
        <w:rPr>
          <w:rFonts w:ascii="Times New Roman" w:hAnsi="Times New Roman" w:cs="Times New Roman"/>
          <w:sz w:val="24"/>
          <w:szCs w:val="24"/>
        </w:rPr>
        <w:t>а</w:t>
      </w:r>
      <w:r w:rsidRPr="00FF6507">
        <w:rPr>
          <w:rFonts w:ascii="Times New Roman" w:hAnsi="Times New Roman" w:cs="Times New Roman"/>
          <w:sz w:val="24"/>
          <w:szCs w:val="24"/>
        </w:rPr>
        <w:t>тциклазы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ведут к стимуляции секрец</w:t>
      </w:r>
      <w:proofErr w:type="gramStart"/>
      <w:r w:rsidRPr="00FF650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F6507">
        <w:rPr>
          <w:rFonts w:ascii="Times New Roman" w:hAnsi="Times New Roman" w:cs="Times New Roman"/>
          <w:sz w:val="24"/>
          <w:szCs w:val="24"/>
        </w:rPr>
        <w:t xml:space="preserve">нов </w:t>
      </w:r>
      <w:r w:rsidR="007720B9" w:rsidRPr="00FF6507">
        <w:rPr>
          <w:rFonts w:ascii="Times New Roman" w:hAnsi="Times New Roman" w:cs="Times New Roman"/>
          <w:sz w:val="24"/>
          <w:szCs w:val="24"/>
        </w:rPr>
        <w:t>(</w:t>
      </w:r>
      <w:r w:rsidRPr="00FF6507">
        <w:rPr>
          <w:rFonts w:ascii="Times New Roman" w:hAnsi="Times New Roman" w:cs="Times New Roman"/>
          <w:sz w:val="24"/>
          <w:szCs w:val="24"/>
        </w:rPr>
        <w:t>в первую очередь ионов хлора) и воды через щеточную каемку  кишечника, вызывая массированную диарею.</w:t>
      </w:r>
    </w:p>
    <w:p w:rsidR="004745C5" w:rsidRPr="00FF6507" w:rsidRDefault="0000350A" w:rsidP="00EC1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FF6507">
        <w:rPr>
          <w:rFonts w:ascii="Times New Roman" w:hAnsi="Times New Roman" w:cs="Times New Roman"/>
          <w:b/>
          <w:sz w:val="24"/>
          <w:szCs w:val="24"/>
        </w:rPr>
        <w:t>мембраносвязанной</w:t>
      </w:r>
      <w:proofErr w:type="spellEnd"/>
      <w:r w:rsidRPr="00FF6507">
        <w:rPr>
          <w:rFonts w:ascii="Times New Roman" w:hAnsi="Times New Roman" w:cs="Times New Roman"/>
          <w:b/>
          <w:sz w:val="24"/>
          <w:szCs w:val="24"/>
        </w:rPr>
        <w:t xml:space="preserve"> гуанилатциклазной системы </w:t>
      </w:r>
      <w:r w:rsidRPr="00FF6507">
        <w:rPr>
          <w:rFonts w:ascii="Times New Roman" w:hAnsi="Times New Roman" w:cs="Times New Roman"/>
          <w:sz w:val="24"/>
          <w:szCs w:val="24"/>
        </w:rPr>
        <w:t>натрийуретическим пе</w:t>
      </w:r>
      <w:r w:rsidRPr="00FF6507">
        <w:rPr>
          <w:rFonts w:ascii="Times New Roman" w:hAnsi="Times New Roman" w:cs="Times New Roman"/>
          <w:sz w:val="24"/>
          <w:szCs w:val="24"/>
        </w:rPr>
        <w:t>п</w:t>
      </w:r>
      <w:r w:rsidRPr="00FF6507">
        <w:rPr>
          <w:rFonts w:ascii="Times New Roman" w:hAnsi="Times New Roman" w:cs="Times New Roman"/>
          <w:sz w:val="24"/>
          <w:szCs w:val="24"/>
        </w:rPr>
        <w:t>тидом</w:t>
      </w:r>
      <w:r w:rsidR="003F3118">
        <w:rPr>
          <w:rFonts w:ascii="Times New Roman" w:hAnsi="Times New Roman" w:cs="Times New Roman"/>
          <w:sz w:val="24"/>
          <w:szCs w:val="24"/>
        </w:rPr>
        <w:t xml:space="preserve"> 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>вызывает вазодилятацию,  натрийурез и диурез</w:t>
      </w:r>
      <w:r w:rsidR="009665F4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; термостабильный бактериальный эндотоксин вызывает</w:t>
      </w:r>
      <w:r w:rsidR="007720B9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уменьшение всасывания воды в кишечнике, приводит к диарее</w:t>
      </w:r>
      <w:proofErr w:type="gramStart"/>
      <w:r w:rsidR="004745C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665F4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proofErr w:type="gramEnd"/>
      <w:r w:rsidR="009665F4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45C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</w:p>
    <w:p w:rsidR="007720B9" w:rsidRPr="00FF6507" w:rsidRDefault="007720B9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Активацию </w:t>
      </w: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растворимой формы гуанилатциклазной системы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вызывают оксид азота </w:t>
      </w:r>
      <w:r w:rsidRPr="00FF6507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FF6507">
        <w:rPr>
          <w:rFonts w:ascii="Times New Roman" w:hAnsi="Times New Roman" w:cs="Times New Roman"/>
          <w:bCs/>
          <w:sz w:val="24"/>
          <w:szCs w:val="24"/>
        </w:rPr>
        <w:t>, радикалы перекисного окисления липидов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 нитровазодилятаторы (нитроглицерин и нитропруссид) , которые  оказывают сосудорасширяющее действие. </w:t>
      </w:r>
    </w:p>
    <w:p w:rsidR="005311F1" w:rsidRPr="00FF6507" w:rsidRDefault="005311F1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Комплекс </w:t>
      </w: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Са-кальмодулин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активирует киназу фосфорилазы и фосфодиэстеразу цАМФ. Кальмодулин является аналогом тропонина С в скелетных мышцах.  Таким образом, при повышении уровня Са в цитоплазме </w:t>
      </w:r>
      <w:r w:rsidR="00340A3F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изменяется клеточная подвижность, сократимость мышечных клеток, рост высвобождения секретируемых белков и происходит активация ряда регуляторных ферментов.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A54E9" w:rsidRPr="00FF6507" w:rsidRDefault="004A54E9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ДАГ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остается в плазматической мембране и облегчает активацию </w:t>
      </w:r>
      <w:r w:rsidR="00476E28"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протеинкиназы С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ионами Са и фосфолипидом  (фосфатидилинозитолом).  Протеинкиназа С вызывает фосфорилирование остатков серина и треонина </w:t>
      </w:r>
      <w:r w:rsidR="00E576DD">
        <w:rPr>
          <w:rFonts w:ascii="Times New Roman" w:hAnsi="Times New Roman" w:cs="Times New Roman"/>
          <w:bCs/>
          <w:sz w:val="24"/>
          <w:szCs w:val="24"/>
          <w:lang w:val="kk-KZ"/>
        </w:rPr>
        <w:t>некоторых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белков-ферментов и способна изменять экспрессию ряда отдельных генов</w:t>
      </w:r>
      <w:r w:rsidR="005F7F67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через активацию транскрипционных факторов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:rsidR="00340A3F" w:rsidRPr="00FF6507" w:rsidRDefault="00B612B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</w:t>
      </w:r>
      <w:r w:rsidRPr="00FF650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F6507">
        <w:rPr>
          <w:rFonts w:ascii="Times New Roman" w:hAnsi="Times New Roman" w:cs="Times New Roman"/>
          <w:bCs/>
          <w:sz w:val="24"/>
          <w:szCs w:val="24"/>
        </w:rPr>
        <w:t xml:space="preserve"> –ой механизм</w:t>
      </w:r>
    </w:p>
    <w:p w:rsidR="002C1315" w:rsidRPr="00FF6507" w:rsidRDefault="00B612B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507">
        <w:rPr>
          <w:rFonts w:ascii="Times New Roman" w:hAnsi="Times New Roman" w:cs="Times New Roman"/>
          <w:bCs/>
          <w:sz w:val="24"/>
          <w:szCs w:val="24"/>
        </w:rPr>
        <w:t>Гормон-рецепторный</w:t>
      </w:r>
      <w:proofErr w:type="gramEnd"/>
      <w:r w:rsidRPr="00FF6507">
        <w:rPr>
          <w:rFonts w:ascii="Times New Roman" w:hAnsi="Times New Roman" w:cs="Times New Roman"/>
          <w:bCs/>
          <w:sz w:val="24"/>
          <w:szCs w:val="24"/>
        </w:rPr>
        <w:t xml:space="preserve"> комплекс </w:t>
      </w:r>
      <w:r w:rsidR="00BA3B99" w:rsidRPr="00FF6507">
        <w:rPr>
          <w:rFonts w:ascii="Times New Roman" w:hAnsi="Times New Roman" w:cs="Times New Roman"/>
          <w:bCs/>
          <w:sz w:val="24"/>
          <w:szCs w:val="24"/>
        </w:rPr>
        <w:t>связывается с</w:t>
      </w:r>
      <w:r w:rsidR="002C131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гормончувствительными элементами ДНК</w:t>
      </w:r>
      <w:r w:rsidR="002C1315" w:rsidRPr="00FF6507">
        <w:rPr>
          <w:rFonts w:ascii="Times New Roman" w:hAnsi="Times New Roman" w:cs="Times New Roman"/>
          <w:bCs/>
          <w:sz w:val="24"/>
          <w:szCs w:val="24"/>
        </w:rPr>
        <w:t>,</w:t>
      </w:r>
      <w:r w:rsidR="002C131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способствуя транскрипции  </w:t>
      </w:r>
      <w:r w:rsidR="00376E62" w:rsidRPr="00FF6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315" w:rsidRPr="00FF6507">
        <w:rPr>
          <w:rFonts w:ascii="Times New Roman" w:hAnsi="Times New Roman" w:cs="Times New Roman"/>
          <w:bCs/>
          <w:sz w:val="24"/>
          <w:szCs w:val="24"/>
        </w:rPr>
        <w:t xml:space="preserve">структурных генов, индукции синтеза белка. </w:t>
      </w:r>
    </w:p>
    <w:p w:rsidR="002C1315" w:rsidRPr="00FF6507" w:rsidRDefault="002C1315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E62" w:rsidRPr="00FF6507" w:rsidRDefault="00376E62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FF650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>-ий механизм</w:t>
      </w:r>
    </w:p>
    <w:p w:rsidR="002C1315" w:rsidRPr="00FF6507" w:rsidRDefault="00004EC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Рецепторы гормонов расположены в </w:t>
      </w:r>
      <w:r w:rsidR="002F138D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плазматической 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мембране и влияют на активность тирозинкиназной-фосфатазной системы. </w:t>
      </w: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СТГ и пролактин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связавшись со своими рецепторами, активируют </w:t>
      </w:r>
      <w:r w:rsidRPr="00063928">
        <w:rPr>
          <w:rFonts w:ascii="Times New Roman" w:hAnsi="Times New Roman" w:cs="Times New Roman"/>
          <w:b/>
          <w:bCs/>
          <w:sz w:val="24"/>
          <w:szCs w:val="24"/>
          <w:lang w:val="kk-KZ"/>
        </w:rPr>
        <w:t>цитозольную тирозинкиназу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>.  Тирозинкиназа активирует другие ферменты (митоген активирующую протеинкиназу, факторы транскрипции), которые усиливают пролиферацию клеток. Кроме того,  эти гормоны активируют фосфолипазу С и протеинкиназу С.</w:t>
      </w:r>
      <w:r w:rsidR="00556743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Если </w:t>
      </w:r>
      <w:r w:rsidR="00556743"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инсулин </w:t>
      </w:r>
      <w:r w:rsidR="00556743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связался  с 2 α-субъединицами  рецептора, 2β-субъединицы приобретают тирозинкин</w:t>
      </w:r>
      <w:r w:rsidR="002F138D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азную активность. Тирозинкиназная-фосфатазная система </w:t>
      </w:r>
      <w:r w:rsidR="00556743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вызывает фосфорилирование -дефосфорилирование  мембранных и цитозольных протеинкиназ.  </w:t>
      </w:r>
      <w:r w:rsidR="002F138D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Это приводит к изменению активности ферментов, </w:t>
      </w:r>
      <w:r w:rsidR="00D33465" w:rsidRPr="00FF6507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транспорту в клетки глюкозы</w:t>
      </w:r>
      <w:r w:rsidR="00C34BD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(гипогликемическое действие)</w:t>
      </w:r>
      <w:r w:rsidR="00D3346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, ионов,  к повышению синтеза нуклеиновых кислот, белков,  усилению пролиферации клеток.</w:t>
      </w:r>
    </w:p>
    <w:p w:rsidR="00B612B3" w:rsidRPr="00FF6507" w:rsidRDefault="00B612B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0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67440" w:rsidRPr="00FF6507" w:rsidRDefault="00667440" w:rsidP="00EC1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7E4B" w:rsidRPr="004745C5" w:rsidRDefault="004745C5" w:rsidP="00EC124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</w:t>
      </w:r>
    </w:p>
    <w:p w:rsidR="00331F60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Ролевая игра «Гипертиреоз»   </w:t>
      </w:r>
    </w:p>
    <w:p w:rsidR="00082E55" w:rsidRPr="00B3326C" w:rsidRDefault="00082E55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Данные взяты из В.Дж.Маршалл (2000)  и Джеймс Е.Гриффин (2008)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«Пациент»  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Жалобы на повышенную влажность  кожи</w:t>
      </w:r>
      <w:r w:rsidR="005C05F2" w:rsidRPr="00B3326C">
        <w:rPr>
          <w:rFonts w:ascii="Times New Roman" w:hAnsi="Times New Roman" w:cs="Times New Roman"/>
          <w:sz w:val="28"/>
          <w:szCs w:val="28"/>
          <w:lang w:val="kk-KZ"/>
        </w:rPr>
        <w:t>, нервозность, возбудимость,  эмоциональную нестабильность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05F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Ощущение сердцебиения: утомляемость, непереносимость тепла.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Беспокойство по поводу появившейся выпуклости глаз и снижения массы тела, хотя аппетит не изменился.   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«Врач»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 осмотре обращали на себя внимание пульс (92 удара в мин в состоянии покоя) и несколько увеличенная щитовидная железа.</w:t>
      </w:r>
      <w:r w:rsidR="003A526B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При раздвигании пальцев вытянутой руки наблюдается сильный тремор.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Лабораторные данные:</w:t>
      </w:r>
    </w:p>
    <w:p w:rsidR="004E09B0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Сыворотка: ТТГ</w:t>
      </w:r>
      <w:r w:rsidR="004E09B0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&lt;  </w:t>
      </w:r>
      <w:r w:rsidR="004E09B0" w:rsidRPr="00B3326C">
        <w:rPr>
          <w:rFonts w:ascii="Times New Roman" w:hAnsi="Times New Roman" w:cs="Times New Roman"/>
          <w:sz w:val="28"/>
          <w:szCs w:val="28"/>
          <w:lang w:val="kk-KZ"/>
        </w:rPr>
        <w:t>0,1 мЕ/л  (норма 0,3-5,0 мЕ/л)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свободная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="00070072"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 34пмоль/л (норма 9-26пмоль/л)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свободная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070072"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12пмоль/л   (норма3-9пмоль/л)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Высокий титр аутоантител к пероксидазе щитовидной железы и тиреоглобулину. 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Изотопное сканирование показало увеличение щитовидной железы с равномерно повышенным захватом.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«Комментатор»</w:t>
      </w:r>
    </w:p>
    <w:p w:rsidR="00D217BD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Высокие концентрации свободных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и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94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при низком содержании ТТГ являются диагностическим признаком тиреотоксикоза, а наличие аутоантител и результаты сканирования характерны для болезни Грейвса (базедова болезнь). Секреция ТТГ гипофиза  регулируется гормонами щитовидной железы (преимущественно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="0054294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) по механизму отрицательной обратной связи.</w:t>
      </w:r>
    </w:p>
    <w:p w:rsidR="00D217BD" w:rsidRPr="00B3326C" w:rsidRDefault="00D217BD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Наиболее частой причиной гипертиреоза является болезнь Грейвса –аутоиммунное заболевание, которое характеризуется присутствием в крови тиреоидстимулирующих антител (</w:t>
      </w:r>
      <w:proofErr w:type="spellStart"/>
      <w:r w:rsidRPr="00B3326C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) . Эти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связываются с рецепторами ТТ</w:t>
      </w:r>
      <w:r w:rsidR="008637D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в щитовидной железе и стимулируют их </w:t>
      </w:r>
      <w:proofErr w:type="gramStart"/>
      <w:r w:rsidRPr="00B3326C">
        <w:rPr>
          <w:rFonts w:ascii="Times New Roman" w:hAnsi="Times New Roman" w:cs="Times New Roman"/>
          <w:sz w:val="28"/>
          <w:szCs w:val="28"/>
          <w:lang w:val="kk-KZ"/>
        </w:rPr>
        <w:t>также,  как</w:t>
      </w:r>
      <w:proofErr w:type="gramEnd"/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и ТТГ, посредством активации аденилатциклазы и образования цАМФ.</w:t>
      </w:r>
    </w:p>
    <w:p w:rsidR="00930F50" w:rsidRPr="00B3326C" w:rsidRDefault="00D217BD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,  действуя по </w:t>
      </w:r>
      <w:r w:rsidRPr="00B332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326C">
        <w:rPr>
          <w:rFonts w:ascii="Times New Roman" w:hAnsi="Times New Roman" w:cs="Times New Roman"/>
          <w:sz w:val="28"/>
          <w:szCs w:val="28"/>
        </w:rPr>
        <w:t xml:space="preserve">-му механизму, повышает синтез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оксидоредуктаз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>.</w:t>
      </w:r>
      <w:r w:rsidR="00C45E65" w:rsidRPr="00B3326C">
        <w:rPr>
          <w:rFonts w:ascii="Times New Roman" w:hAnsi="Times New Roman" w:cs="Times New Roman"/>
          <w:sz w:val="28"/>
          <w:szCs w:val="28"/>
        </w:rPr>
        <w:t xml:space="preserve"> </w:t>
      </w:r>
      <w:r w:rsidRPr="00B3326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332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Pr="00B332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326C">
        <w:rPr>
          <w:rFonts w:ascii="Times New Roman" w:hAnsi="Times New Roman" w:cs="Times New Roman"/>
          <w:sz w:val="28"/>
          <w:szCs w:val="28"/>
        </w:rPr>
        <w:t xml:space="preserve">-му механизму) повышает проницаемость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 мембраны для энергетических субстратов. </w:t>
      </w:r>
    </w:p>
    <w:p w:rsidR="00082E55" w:rsidRPr="00B3326C" w:rsidRDefault="003F6779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</w:rPr>
        <w:t>При гипертиреозе БО усиливается, но происходит разобщение БО с  ОФ. Это приводит к образованию больших количеств эндогенной воды (влажность кожи), повышению температуры тела (непереносимость жары), утомляем</w:t>
      </w:r>
      <w:r w:rsidRPr="00B3326C">
        <w:rPr>
          <w:rFonts w:ascii="Times New Roman" w:hAnsi="Times New Roman" w:cs="Times New Roman"/>
          <w:sz w:val="28"/>
          <w:szCs w:val="28"/>
        </w:rPr>
        <w:t>о</w:t>
      </w:r>
      <w:r w:rsidRPr="00B3326C">
        <w:rPr>
          <w:rFonts w:ascii="Times New Roman" w:hAnsi="Times New Roman" w:cs="Times New Roman"/>
          <w:sz w:val="28"/>
          <w:szCs w:val="28"/>
        </w:rPr>
        <w:t>сти.  Увеличен распад веществ, поэтому наблюдается снижение массы тела при нормальном аппетите.  Усиление БО требует большого количества О</w:t>
      </w:r>
      <w:proofErr w:type="gramStart"/>
      <w:r w:rsidRPr="00B33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326C">
        <w:rPr>
          <w:rFonts w:ascii="Times New Roman" w:hAnsi="Times New Roman" w:cs="Times New Roman"/>
          <w:sz w:val="28"/>
          <w:szCs w:val="28"/>
        </w:rPr>
        <w:t xml:space="preserve"> , о чем свидетельствует сердцебиение и учащение пульса.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Периорбитальный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 отек связан с </w:t>
      </w:r>
      <w:r w:rsidR="005C05F2" w:rsidRPr="00B3326C">
        <w:rPr>
          <w:rFonts w:ascii="Times New Roman" w:hAnsi="Times New Roman" w:cs="Times New Roman"/>
          <w:sz w:val="28"/>
          <w:szCs w:val="28"/>
        </w:rPr>
        <w:t xml:space="preserve">инфильтрацией 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периорбитальных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 xml:space="preserve"> тканей 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мукополисахаридами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 xml:space="preserve">, из-за этого глаза становятся выпученными. Заключение 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экстраокулярных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периорбитальных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>) мышц в ограниченное пространство орбиты может вести к параличу движений глаз и удвоению видимых изображений.</w:t>
      </w:r>
      <w:r w:rsidR="0054294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A526B" w:rsidRPr="00B3326C">
        <w:rPr>
          <w:rFonts w:ascii="Times New Roman" w:hAnsi="Times New Roman" w:cs="Times New Roman"/>
          <w:sz w:val="28"/>
          <w:szCs w:val="28"/>
          <w:lang w:val="kk-KZ"/>
        </w:rPr>
        <w:t>Тремор рук может быть связан с проникновением тиреоидных гормонов в нервные окончания и  их раздражение.</w:t>
      </w:r>
    </w:p>
    <w:p w:rsidR="006A32AA" w:rsidRDefault="006A32AA" w:rsidP="00082E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E55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Ролевая игра «Гипотиреоз»   </w:t>
      </w:r>
    </w:p>
    <w:p w:rsidR="00082E55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Данные взяты из В.Дж.Маршалл (2000)  и Джеймс Е.Гриффин (2008)</w:t>
      </w:r>
    </w:p>
    <w:p w:rsidR="00082E55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«Пациент»</w:t>
      </w:r>
    </w:p>
    <w:p w:rsidR="005C1CF0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Жалобы н</w:t>
      </w:r>
      <w:r w:rsidR="00771D29" w:rsidRPr="00B3326C">
        <w:rPr>
          <w:rFonts w:ascii="Times New Roman" w:hAnsi="Times New Roman" w:cs="Times New Roman"/>
          <w:sz w:val="28"/>
          <w:szCs w:val="28"/>
          <w:lang w:val="kk-KZ"/>
        </w:rPr>
        <w:t>а утомляемость, вялость, нарушение памяти, замедленн</w:t>
      </w:r>
      <w:r w:rsidR="00765672" w:rsidRPr="00B3326C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771D2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речь. Непереносимость холода. Ощущение холода в комнате, в которой другие чувствуют себя комфортно. </w:t>
      </w:r>
    </w:p>
    <w:p w:rsidR="00652501" w:rsidRPr="00B3326C" w:rsidRDefault="00652501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«Врач»</w:t>
      </w:r>
    </w:p>
    <w:p w:rsidR="00047467" w:rsidRPr="00B3326C" w:rsidRDefault="00512A64" w:rsidP="000474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Небольшая прибавка в весе, хотя аппетит снижен. Врач выяснил, что в последнее время пациент страдал  запорами. Гипотермия. </w:t>
      </w:r>
      <w:r w:rsidR="00652501" w:rsidRPr="00B3326C">
        <w:rPr>
          <w:rFonts w:ascii="Times New Roman" w:hAnsi="Times New Roman" w:cs="Times New Roman"/>
          <w:sz w:val="28"/>
          <w:szCs w:val="28"/>
          <w:lang w:val="kk-KZ"/>
        </w:rPr>
        <w:t>При физикальном обследовании брадикардия. Зоба у пациента не обнаружено.</w:t>
      </w:r>
      <w:r w:rsidR="007656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Сердце увеличено, развился экссудативный перикардит. </w:t>
      </w:r>
      <w:r w:rsidR="00047467" w:rsidRPr="00B3326C">
        <w:rPr>
          <w:rFonts w:ascii="Times New Roman" w:hAnsi="Times New Roman" w:cs="Times New Roman"/>
          <w:sz w:val="28"/>
          <w:szCs w:val="28"/>
          <w:lang w:val="kk-KZ"/>
        </w:rPr>
        <w:t>Огрубление черт лица. Отеки рук и ног. Кожа землистого цвета. Волосы грубые, потерявшие блеск.</w:t>
      </w:r>
    </w:p>
    <w:p w:rsidR="00652501" w:rsidRPr="00B3326C" w:rsidRDefault="00652501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Лабораторные данные</w:t>
      </w:r>
      <w:r w:rsidR="00512A64" w:rsidRPr="00B3326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52501" w:rsidRPr="00B3326C" w:rsidRDefault="00652501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Сыворотка: ТТГ&gt; 100 мЕ/л </w:t>
      </w:r>
      <w:r w:rsidR="00512A64" w:rsidRPr="00B3326C">
        <w:rPr>
          <w:rFonts w:ascii="Times New Roman" w:hAnsi="Times New Roman" w:cs="Times New Roman"/>
          <w:sz w:val="28"/>
          <w:szCs w:val="28"/>
          <w:lang w:val="kk-KZ"/>
        </w:rPr>
        <w:t>(норма 0,3-5,0 мЕ/л)</w:t>
      </w:r>
    </w:p>
    <w:p w:rsidR="00765672" w:rsidRPr="00B3326C" w:rsidRDefault="00765672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«Комментатор»</w:t>
      </w:r>
    </w:p>
    <w:p w:rsidR="005C1CF0" w:rsidRPr="00B3326C" w:rsidRDefault="00765672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При недостатке тиреоидных гормонов </w:t>
      </w:r>
      <w:r w:rsidR="00047467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нарушаются процессы БО и ОФ, т.е. понижается обеспечение организма энергией. Вследствие этого возникают утомляемость, вялость, нарушение памяти, замедленная речь,  гипотермия, </w:t>
      </w:r>
      <w:r w:rsidR="005C1CF0" w:rsidRPr="00B3326C">
        <w:rPr>
          <w:rFonts w:ascii="Times New Roman" w:hAnsi="Times New Roman" w:cs="Times New Roman"/>
          <w:sz w:val="28"/>
          <w:szCs w:val="28"/>
          <w:lang w:val="kk-KZ"/>
        </w:rPr>
        <w:t>прибавка в весе, понижение объема выбросов и частоты сердечных сокращений. При длительной недостаточности тиреоидных гормонов</w:t>
      </w:r>
      <w:r w:rsidR="00047467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CF0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возникает аккумуляция мукополисахаридов в подкожных тканях и других органах, обозначаемая </w:t>
      </w:r>
      <w:r w:rsidR="005C1CF0" w:rsidRPr="00B3326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микседемой. </w:t>
      </w:r>
      <w:r w:rsidR="005C1CF0" w:rsidRPr="00B3326C">
        <w:rPr>
          <w:rFonts w:ascii="Times New Roman" w:hAnsi="Times New Roman" w:cs="Times New Roman"/>
          <w:sz w:val="28"/>
          <w:szCs w:val="28"/>
          <w:lang w:val="kk-KZ"/>
        </w:rPr>
        <w:t>Инфильтрация дермы ведет к огрублению черт лица, отеку рук, ног, не связанному с давлением.Накапливается плевральная и перитонеальная жидкость, богатая белком и мукополисахаридами.</w:t>
      </w:r>
    </w:p>
    <w:p w:rsidR="005C1CF0" w:rsidRPr="00B3326C" w:rsidRDefault="005C1CF0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У детей тяжелая недостаточность тиреоидных гормонов называется  </w:t>
      </w:r>
      <w:r w:rsidRPr="00B3326C">
        <w:rPr>
          <w:rFonts w:ascii="Times New Roman" w:hAnsi="Times New Roman" w:cs="Times New Roman"/>
          <w:i/>
          <w:sz w:val="28"/>
          <w:szCs w:val="28"/>
          <w:lang w:val="kk-KZ"/>
        </w:rPr>
        <w:t>кретинизмом.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Характеризуется задержкой роста и умственного развития. </w:t>
      </w:r>
    </w:p>
    <w:p w:rsidR="00082E55" w:rsidRDefault="00082E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1246" w:rsidRDefault="00EC1246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C1246" w:rsidSect="00A1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816"/>
    <w:multiLevelType w:val="hybridMultilevel"/>
    <w:tmpl w:val="0360C744"/>
    <w:lvl w:ilvl="0" w:tplc="AECA2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456176A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6672CF0"/>
    <w:multiLevelType w:val="multilevel"/>
    <w:tmpl w:val="A7BC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EE44F1"/>
    <w:multiLevelType w:val="hybridMultilevel"/>
    <w:tmpl w:val="6360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1E3C"/>
    <w:multiLevelType w:val="hybridMultilevel"/>
    <w:tmpl w:val="4C4E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1955"/>
    <w:multiLevelType w:val="hybridMultilevel"/>
    <w:tmpl w:val="6E82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28A1"/>
    <w:multiLevelType w:val="hybridMultilevel"/>
    <w:tmpl w:val="0480FD14"/>
    <w:lvl w:ilvl="0" w:tplc="4448108A">
      <w:start w:val="4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42949"/>
    <w:rsid w:val="0000350A"/>
    <w:rsid w:val="00004EC3"/>
    <w:rsid w:val="0003192B"/>
    <w:rsid w:val="00047467"/>
    <w:rsid w:val="0006159A"/>
    <w:rsid w:val="00063928"/>
    <w:rsid w:val="00070072"/>
    <w:rsid w:val="00074520"/>
    <w:rsid w:val="00082E55"/>
    <w:rsid w:val="000932A4"/>
    <w:rsid w:val="000977E0"/>
    <w:rsid w:val="000B0B5E"/>
    <w:rsid w:val="000F1FBF"/>
    <w:rsid w:val="00143ADB"/>
    <w:rsid w:val="001472F8"/>
    <w:rsid w:val="00150DF9"/>
    <w:rsid w:val="00177E4B"/>
    <w:rsid w:val="001D5B12"/>
    <w:rsid w:val="0021772C"/>
    <w:rsid w:val="002452DB"/>
    <w:rsid w:val="002546B8"/>
    <w:rsid w:val="002C1315"/>
    <w:rsid w:val="002F138D"/>
    <w:rsid w:val="00324B86"/>
    <w:rsid w:val="00331F60"/>
    <w:rsid w:val="00340A3F"/>
    <w:rsid w:val="00376E62"/>
    <w:rsid w:val="003A21A9"/>
    <w:rsid w:val="003A526B"/>
    <w:rsid w:val="003A6A73"/>
    <w:rsid w:val="003F10DD"/>
    <w:rsid w:val="003F3118"/>
    <w:rsid w:val="003F6779"/>
    <w:rsid w:val="004745C5"/>
    <w:rsid w:val="00476E28"/>
    <w:rsid w:val="004A29B8"/>
    <w:rsid w:val="004A54E9"/>
    <w:rsid w:val="004C654B"/>
    <w:rsid w:val="004D69A7"/>
    <w:rsid w:val="004E09B0"/>
    <w:rsid w:val="005070F7"/>
    <w:rsid w:val="00512A64"/>
    <w:rsid w:val="00520998"/>
    <w:rsid w:val="0052584E"/>
    <w:rsid w:val="005311F1"/>
    <w:rsid w:val="005330E9"/>
    <w:rsid w:val="00542949"/>
    <w:rsid w:val="0054667C"/>
    <w:rsid w:val="00556743"/>
    <w:rsid w:val="005A0FC9"/>
    <w:rsid w:val="005A6E88"/>
    <w:rsid w:val="005C05F2"/>
    <w:rsid w:val="005C1CF0"/>
    <w:rsid w:val="005F7F67"/>
    <w:rsid w:val="00652501"/>
    <w:rsid w:val="00667440"/>
    <w:rsid w:val="006A32AA"/>
    <w:rsid w:val="006E4864"/>
    <w:rsid w:val="0071198D"/>
    <w:rsid w:val="00765672"/>
    <w:rsid w:val="00771D29"/>
    <w:rsid w:val="007720B9"/>
    <w:rsid w:val="007E6C4B"/>
    <w:rsid w:val="008009FA"/>
    <w:rsid w:val="00800FF9"/>
    <w:rsid w:val="008637D4"/>
    <w:rsid w:val="00930F50"/>
    <w:rsid w:val="009665F4"/>
    <w:rsid w:val="00985FC9"/>
    <w:rsid w:val="00A13DF9"/>
    <w:rsid w:val="00A31355"/>
    <w:rsid w:val="00A37FE9"/>
    <w:rsid w:val="00A9272E"/>
    <w:rsid w:val="00AA6026"/>
    <w:rsid w:val="00AB4CA9"/>
    <w:rsid w:val="00B20EB6"/>
    <w:rsid w:val="00B3326C"/>
    <w:rsid w:val="00B612B3"/>
    <w:rsid w:val="00B74359"/>
    <w:rsid w:val="00B87044"/>
    <w:rsid w:val="00BA3B99"/>
    <w:rsid w:val="00BB4A3F"/>
    <w:rsid w:val="00BF3B6B"/>
    <w:rsid w:val="00BF519A"/>
    <w:rsid w:val="00C030AA"/>
    <w:rsid w:val="00C05F22"/>
    <w:rsid w:val="00C34BD1"/>
    <w:rsid w:val="00C45E65"/>
    <w:rsid w:val="00C64E5C"/>
    <w:rsid w:val="00C8309B"/>
    <w:rsid w:val="00CA2B99"/>
    <w:rsid w:val="00D217BD"/>
    <w:rsid w:val="00D33465"/>
    <w:rsid w:val="00DA4128"/>
    <w:rsid w:val="00DF7516"/>
    <w:rsid w:val="00E30527"/>
    <w:rsid w:val="00E576DD"/>
    <w:rsid w:val="00E812CC"/>
    <w:rsid w:val="00EC1246"/>
    <w:rsid w:val="00EF38BA"/>
    <w:rsid w:val="00F07171"/>
    <w:rsid w:val="00F21D3C"/>
    <w:rsid w:val="00F40BA3"/>
    <w:rsid w:val="00F41BF4"/>
    <w:rsid w:val="00F46F5C"/>
    <w:rsid w:val="00F62473"/>
    <w:rsid w:val="00FA57FB"/>
    <w:rsid w:val="00FD6FF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7"/>
        <o:r id="V:Rule2" type="connector" idref="#_x0000_s1044"/>
        <o:r id="V:Rule3" type="connector" idref="#_x0000_s1039"/>
        <o:r id="V:Rule4" type="connector" idref="#_x0000_s1070"/>
        <o:r id="V:Rule5" type="connector" idref="#_x0000_s1065"/>
        <o:r id="V:Rule6" type="connector" idref="#_x0000_s1068"/>
        <o:r id="V:Rule7" type="connector" idref="#_x0000_s1046"/>
        <o:r id="V:Rule8" type="connector" idref="#_x0000_s1063"/>
        <o:r id="V:Rule9" type="connector" idref="#_x0000_s1067"/>
        <o:r id="V:Rule10" type="connector" idref="#_x0000_s1036"/>
        <o:r id="V:Rule11" type="connector" idref="#_x0000_s1026"/>
        <o:r id="V:Rule12" type="connector" idref="#_x0000_s1062"/>
        <o:r id="V:Rule13" type="connector" idref="#_x0000_s1029"/>
        <o:r id="V:Rule14" type="connector" idref="#_x0000_s1066"/>
        <o:r id="V:Rule15" type="connector" idref="#_x0000_s1074"/>
        <o:r id="V:Rule16" type="connector" idref="#_x0000_s1049"/>
        <o:r id="V:Rule17" type="connector" idref="#_x0000_s1053"/>
        <o:r id="V:Rule18" type="connector" idref="#_x0000_s1075"/>
        <o:r id="V:Rule19" type="connector" idref="#_x0000_s1034"/>
        <o:r id="V:Rule20" type="connector" idref="#_x0000_s1041"/>
        <o:r id="V:Rule21" type="connector" idref="#_x0000_s1040"/>
        <o:r id="V:Rule22" type="connector" idref="#_x0000_s1042"/>
        <o:r id="V:Rule23" type="connector" idref="#_x0000_s1061"/>
        <o:r id="V:Rule24" type="connector" idref="#_x0000_s1033"/>
        <o:r id="V:Rule25" type="connector" idref="#_x0000_s1035"/>
        <o:r id="V:Rule26" type="connector" idref="#_x0000_s1031"/>
        <o:r id="V:Rule27" type="connector" idref="#_x0000_s1056"/>
        <o:r id="V:Rule28" type="connector" idref="#_x0000_s1037"/>
        <o:r id="V:Rule29" type="connector" idref="#_x0000_s1059"/>
        <o:r id="V:Rule30" type="connector" idref="#_x0000_s1030"/>
        <o:r id="V:Rule31" type="connector" idref="#_x0000_s1052"/>
        <o:r id="V:Rule32" type="connector" idref="#_x0000_s1043"/>
        <o:r id="V:Rule33" type="connector" idref="#_x0000_s1038"/>
        <o:r id="V:Rule34" type="connector" idref="#_x0000_s1060"/>
        <o:r id="V:Rule35" type="connector" idref="#_x0000_s1073"/>
        <o:r id="V:Rule36" type="connector" idref="#_x0000_s1072"/>
        <o:r id="V:Rule37" type="connector" idref="#_x0000_s1045"/>
        <o:r id="V:Rule38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7">
    <w:name w:val="j7"/>
    <w:basedOn w:val="a"/>
    <w:rsid w:val="00FD6FF6"/>
    <w:pPr>
      <w:spacing w:after="0" w:line="240" w:lineRule="auto"/>
      <w:ind w:left="1200" w:hanging="800"/>
      <w:jc w:val="both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j8">
    <w:name w:val="j8"/>
    <w:basedOn w:val="a"/>
    <w:rsid w:val="00FD6FF6"/>
    <w:pPr>
      <w:spacing w:after="0" w:line="240" w:lineRule="auto"/>
      <w:ind w:firstLine="400"/>
      <w:jc w:val="both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character" w:customStyle="1" w:styleId="s0">
    <w:name w:val="s0"/>
    <w:basedOn w:val="a0"/>
    <w:rsid w:val="00FD6F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FD6F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D6FF6"/>
    <w:rPr>
      <w:rFonts w:ascii="Times New Roman" w:hAnsi="Times New Roman" w:cs="Times New Roman" w:hint="default"/>
      <w:color w:val="333399"/>
      <w:sz w:val="24"/>
      <w:szCs w:val="24"/>
      <w:u w:val="single"/>
    </w:rPr>
  </w:style>
  <w:style w:type="paragraph" w:customStyle="1" w:styleId="j5">
    <w:name w:val="j5"/>
    <w:basedOn w:val="a"/>
    <w:rsid w:val="00FD6FF6"/>
    <w:pPr>
      <w:spacing w:after="0" w:line="240" w:lineRule="auto"/>
      <w:ind w:firstLine="426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7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359"/>
    <w:pPr>
      <w:ind w:left="720"/>
      <w:contextualSpacing/>
    </w:pPr>
  </w:style>
  <w:style w:type="paragraph" w:customStyle="1" w:styleId="j2">
    <w:name w:val="j2"/>
    <w:basedOn w:val="a"/>
    <w:rsid w:val="00B74359"/>
    <w:pPr>
      <w:spacing w:after="0" w:line="240" w:lineRule="auto"/>
      <w:jc w:val="center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character" w:customStyle="1" w:styleId="j31">
    <w:name w:val="j31"/>
    <w:basedOn w:val="a0"/>
    <w:rsid w:val="00143ADB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F2D1-88C1-4F84-98FB-F0797D9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87</cp:revision>
  <cp:lastPrinted>2011-03-28T11:21:00Z</cp:lastPrinted>
  <dcterms:created xsi:type="dcterms:W3CDTF">2011-01-07T10:01:00Z</dcterms:created>
  <dcterms:modified xsi:type="dcterms:W3CDTF">2012-10-11T09:39:00Z</dcterms:modified>
</cp:coreProperties>
</file>